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EC0F" w14:textId="6EDF5D8D" w:rsidR="00591BBB" w:rsidRDefault="00591BBB" w:rsidP="00591BBB">
      <w:pPr>
        <w:tabs>
          <w:tab w:val="right" w:pos="9746"/>
        </w:tabs>
        <w:spacing w:line="276" w:lineRule="auto"/>
        <w:jc w:val="right"/>
        <w:rPr>
          <w:rFonts w:ascii="Calibri" w:hAnsi="Calibri"/>
          <w:b/>
          <w:i/>
          <w:u w:val="single"/>
        </w:rPr>
      </w:pPr>
    </w:p>
    <w:p w14:paraId="57806890" w14:textId="77777777" w:rsidR="00591BBB" w:rsidRDefault="00591BBB" w:rsidP="00BB00B7">
      <w:pPr>
        <w:tabs>
          <w:tab w:val="right" w:pos="9746"/>
        </w:tabs>
        <w:spacing w:line="276" w:lineRule="auto"/>
        <w:jc w:val="center"/>
        <w:rPr>
          <w:rFonts w:ascii="Calibri" w:hAnsi="Calibri"/>
          <w:b/>
          <w:i/>
          <w:u w:val="single"/>
        </w:rPr>
      </w:pPr>
    </w:p>
    <w:p w14:paraId="04DA58FB" w14:textId="72CA5734"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845FBE">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2"/>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3"/>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4"/>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060DD892"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845FBE">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41E45561"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845FBE">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lastRenderedPageBreak/>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0279A0D4"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w:t>
      </w:r>
      <w:r w:rsidR="00845FBE">
        <w:rPr>
          <w:rFonts w:ascii="Calibri" w:hAnsi="Calibri"/>
          <w:sz w:val="22"/>
        </w:rPr>
        <w:t xml:space="preserve">łącznej </w:t>
      </w:r>
      <w:r w:rsidRPr="00C66CA0">
        <w:rPr>
          <w:rFonts w:ascii="Calibri" w:hAnsi="Calibri"/>
          <w:sz w:val="22"/>
        </w:rPr>
        <w:t xml:space="preserve">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de minimis</w:t>
      </w:r>
      <w:r w:rsidR="00DD119B">
        <w:rPr>
          <w:rStyle w:val="Odwoanieprzypisudolnego"/>
          <w:rFonts w:ascii="Calibri" w:hAnsi="Calibri"/>
          <w:i/>
          <w:sz w:val="22"/>
        </w:rPr>
        <w:footnoteReference w:id="5"/>
      </w:r>
      <w:r w:rsidRPr="00C66CA0">
        <w:rPr>
          <w:rFonts w:ascii="Calibri" w:hAnsi="Calibri"/>
          <w:sz w:val="22"/>
        </w:rPr>
        <w:t>.</w:t>
      </w:r>
    </w:p>
    <w:bookmarkEnd w:id="1"/>
    <w:p w14:paraId="19F90D2B" w14:textId="3F49B025"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r w:rsidR="00955614" w:rsidRPr="00C5244D">
        <w:rPr>
          <w:rFonts w:ascii="Calibri" w:hAnsi="Calibri"/>
          <w: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845FBE">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minimis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r w:rsidR="00152EF2" w:rsidRPr="00C5244D">
        <w:rPr>
          <w:rFonts w:ascii="Calibri" w:hAnsi="Calibri"/>
          <w: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6"/>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499A3ECE"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845FBE">
        <w:rPr>
          <w:rStyle w:val="Odwoanieprzypisudolnego"/>
          <w:rFonts w:ascii="Calibri" w:hAnsi="Calibri"/>
          <w:spacing w:val="-8"/>
          <w:sz w:val="22"/>
          <w:szCs w:val="22"/>
        </w:rPr>
        <w:footnoteReference w:id="7"/>
      </w:r>
      <w:r w:rsidRPr="00C66CA0">
        <w:rPr>
          <w:rFonts w:ascii="Calibri" w:hAnsi="Calibri"/>
          <w:spacing w:val="-8"/>
          <w:sz w:val="22"/>
          <w:szCs w:val="22"/>
        </w:rPr>
        <w:t>.</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8"/>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58630A">
          <w:pPr>
            <w:pStyle w:val="Spistreci2"/>
            <w:rPr>
              <w:rFonts w:asciiTheme="minorHAnsi" w:eastAsiaTheme="minorEastAsia" w:hAnsiTheme="minorHAnsi" w:cstheme="minorHAnsi"/>
              <w:noProof/>
              <w:sz w:val="22"/>
              <w:szCs w:val="22"/>
            </w:rPr>
          </w:pPr>
          <w:hyperlink w:anchor="_Toc191578358" w:history="1">
            <w:r w:rsidRPr="0058630A">
              <w:rPr>
                <w:rStyle w:val="Hipercze"/>
                <w:rFonts w:asciiTheme="minorHAnsi" w:hAnsiTheme="minorHAnsi" w:cstheme="minorHAnsi"/>
                <w:noProof/>
                <w:sz w:val="22"/>
                <w:szCs w:val="22"/>
              </w:rPr>
              <w:t>Artykuł 1 [podstawa prawna]</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w:t>
            </w:r>
            <w:r w:rsidRPr="0058630A">
              <w:rPr>
                <w:rFonts w:asciiTheme="minorHAnsi" w:hAnsiTheme="minorHAnsi" w:cstheme="minorHAnsi"/>
                <w:noProof/>
                <w:webHidden/>
                <w:sz w:val="22"/>
                <w:szCs w:val="22"/>
              </w:rPr>
              <w:fldChar w:fldCharType="end"/>
            </w:r>
          </w:hyperlink>
        </w:p>
        <w:p w14:paraId="5A351397" w14:textId="039F0D57" w:rsidR="0058630A" w:rsidRPr="0058630A" w:rsidRDefault="0058630A">
          <w:pPr>
            <w:pStyle w:val="Spistreci2"/>
            <w:rPr>
              <w:rFonts w:asciiTheme="minorHAnsi" w:eastAsiaTheme="minorEastAsia" w:hAnsiTheme="minorHAnsi" w:cstheme="minorHAnsi"/>
              <w:noProof/>
              <w:sz w:val="22"/>
              <w:szCs w:val="22"/>
            </w:rPr>
          </w:pPr>
          <w:hyperlink w:anchor="_Toc191578359" w:history="1">
            <w:r w:rsidRPr="0058630A">
              <w:rPr>
                <w:rStyle w:val="Hipercze"/>
                <w:rFonts w:asciiTheme="minorHAnsi" w:hAnsiTheme="minorHAnsi" w:cstheme="minorHAnsi"/>
                <w:noProof/>
                <w:sz w:val="22"/>
                <w:szCs w:val="22"/>
              </w:rPr>
              <w:t>Artykuł 2 [definicje]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5</w:t>
            </w:r>
            <w:r w:rsidRPr="0058630A">
              <w:rPr>
                <w:rFonts w:asciiTheme="minorHAnsi" w:hAnsiTheme="minorHAnsi" w:cstheme="minorHAnsi"/>
                <w:noProof/>
                <w:webHidden/>
                <w:sz w:val="22"/>
                <w:szCs w:val="22"/>
              </w:rPr>
              <w:fldChar w:fldCharType="end"/>
            </w:r>
          </w:hyperlink>
        </w:p>
        <w:p w14:paraId="413D7C4B" w14:textId="7EFF59F1" w:rsidR="0058630A" w:rsidRPr="0058630A" w:rsidRDefault="0058630A">
          <w:pPr>
            <w:pStyle w:val="Spistreci2"/>
            <w:rPr>
              <w:rFonts w:asciiTheme="minorHAnsi" w:eastAsiaTheme="minorEastAsia" w:hAnsiTheme="minorHAnsi" w:cstheme="minorHAnsi"/>
              <w:noProof/>
              <w:sz w:val="22"/>
              <w:szCs w:val="22"/>
            </w:rPr>
          </w:pPr>
          <w:hyperlink w:anchor="_Toc191578360" w:history="1">
            <w:r w:rsidRPr="0058630A">
              <w:rPr>
                <w:rStyle w:val="Hipercze"/>
                <w:rFonts w:asciiTheme="minorHAnsi" w:hAnsiTheme="minorHAnsi" w:cstheme="minorHAnsi"/>
                <w:noProof/>
                <w:sz w:val="22"/>
                <w:szCs w:val="22"/>
              </w:rPr>
              <w:t>Artykuł 3 [ogólne warunki realizacji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8</w:t>
            </w:r>
            <w:r w:rsidRPr="0058630A">
              <w:rPr>
                <w:rFonts w:asciiTheme="minorHAnsi" w:hAnsiTheme="minorHAnsi" w:cstheme="minorHAnsi"/>
                <w:noProof/>
                <w:webHidden/>
                <w:sz w:val="22"/>
                <w:szCs w:val="22"/>
              </w:rPr>
              <w:fldChar w:fldCharType="end"/>
            </w:r>
          </w:hyperlink>
        </w:p>
        <w:p w14:paraId="6ED62D6C" w14:textId="3C6EF13B" w:rsidR="0058630A" w:rsidRPr="0058630A" w:rsidRDefault="0058630A">
          <w:pPr>
            <w:pStyle w:val="Spistreci2"/>
            <w:rPr>
              <w:rFonts w:asciiTheme="minorHAnsi" w:eastAsiaTheme="minorEastAsia" w:hAnsiTheme="minorHAnsi" w:cstheme="minorHAnsi"/>
              <w:noProof/>
              <w:sz w:val="22"/>
              <w:szCs w:val="22"/>
            </w:rPr>
          </w:pPr>
          <w:hyperlink w:anchor="_Toc191578361" w:history="1">
            <w:r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299982D2" w14:textId="6E9BB5CB" w:rsidR="0058630A" w:rsidRPr="0058630A" w:rsidRDefault="0058630A">
          <w:pPr>
            <w:pStyle w:val="Spistreci2"/>
            <w:rPr>
              <w:rFonts w:asciiTheme="minorHAnsi" w:eastAsiaTheme="minorEastAsia" w:hAnsiTheme="minorHAnsi" w:cstheme="minorHAnsi"/>
              <w:noProof/>
              <w:sz w:val="22"/>
              <w:szCs w:val="22"/>
            </w:rPr>
          </w:pPr>
          <w:hyperlink w:anchor="_Toc191578362" w:history="1">
            <w:r w:rsidRPr="0058630A">
              <w:rPr>
                <w:rStyle w:val="Hipercze"/>
                <w:rFonts w:asciiTheme="minorHAnsi" w:hAnsiTheme="minorHAnsi" w:cstheme="minorHAnsi"/>
                <w:bCs/>
                <w:noProof/>
                <w:sz w:val="22"/>
                <w:szCs w:val="22"/>
              </w:rPr>
              <w:t>Artykuł 5</w:t>
            </w:r>
            <w:r w:rsidRPr="0058630A">
              <w:rPr>
                <w:rStyle w:val="Hipercze"/>
                <w:rFonts w:asciiTheme="minorHAnsi" w:hAnsiTheme="minorHAnsi" w:cstheme="minorHAnsi"/>
                <w:noProof/>
                <w:sz w:val="22"/>
                <w:szCs w:val="22"/>
              </w:rPr>
              <w:t xml:space="preserve"> [zabezpieczenie]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013C6C10" w14:textId="0EA7F03E"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63" w:history="1">
            <w:r w:rsidRPr="0058630A">
              <w:rPr>
                <w:rStyle w:val="Hipercze"/>
                <w:rFonts w:asciiTheme="minorHAnsi" w:hAnsiTheme="minorHAnsi" w:cstheme="minorHAnsi"/>
                <w:noProof/>
                <w:sz w:val="22"/>
                <w:szCs w:val="22"/>
              </w:rPr>
              <w:t>Rozdział II [realizacja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060A5704" w14:textId="7A8A6BC4" w:rsidR="0058630A" w:rsidRPr="0058630A" w:rsidRDefault="0058630A">
          <w:pPr>
            <w:pStyle w:val="Spistreci2"/>
            <w:rPr>
              <w:rFonts w:asciiTheme="minorHAnsi" w:eastAsiaTheme="minorEastAsia" w:hAnsiTheme="minorHAnsi" w:cstheme="minorHAnsi"/>
              <w:noProof/>
              <w:sz w:val="22"/>
              <w:szCs w:val="22"/>
            </w:rPr>
          </w:pPr>
          <w:hyperlink w:anchor="_Toc191578364" w:history="1">
            <w:r w:rsidRPr="0058630A">
              <w:rPr>
                <w:rStyle w:val="Hipercze"/>
                <w:rFonts w:asciiTheme="minorHAnsi" w:hAnsiTheme="minorHAnsi" w:cstheme="minorHAnsi"/>
                <w:bCs/>
                <w:noProof/>
                <w:sz w:val="22"/>
                <w:szCs w:val="22"/>
              </w:rPr>
              <w:t>Artykuł 6</w:t>
            </w:r>
            <w:r w:rsidRPr="0058630A">
              <w:rPr>
                <w:rStyle w:val="Hipercze"/>
                <w:rFonts w:asciiTheme="minorHAnsi" w:hAnsiTheme="minorHAnsi" w:cstheme="minorHAnsi"/>
                <w:noProof/>
                <w:sz w:val="22"/>
                <w:szCs w:val="22"/>
              </w:rPr>
              <w:t xml:space="preserve"> [CST2021]</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55B8E695" w14:textId="34F97982" w:rsidR="0058630A" w:rsidRPr="0058630A" w:rsidRDefault="0058630A">
          <w:pPr>
            <w:pStyle w:val="Spistreci2"/>
            <w:rPr>
              <w:rFonts w:asciiTheme="minorHAnsi" w:eastAsiaTheme="minorEastAsia" w:hAnsiTheme="minorHAnsi" w:cstheme="minorHAnsi"/>
              <w:noProof/>
              <w:sz w:val="22"/>
              <w:szCs w:val="22"/>
            </w:rPr>
          </w:pPr>
          <w:hyperlink w:anchor="_Toc191578365" w:history="1">
            <w:r w:rsidRPr="0058630A">
              <w:rPr>
                <w:rStyle w:val="Hipercze"/>
                <w:rFonts w:asciiTheme="minorHAnsi" w:hAnsiTheme="minorHAnsi" w:cstheme="minorHAnsi"/>
                <w:bCs/>
                <w:noProof/>
                <w:sz w:val="22"/>
                <w:szCs w:val="22"/>
              </w:rPr>
              <w:t>Artykuł 7</w:t>
            </w:r>
            <w:r w:rsidRPr="0058630A">
              <w:rPr>
                <w:rStyle w:val="Hipercze"/>
                <w:rFonts w:asciiTheme="minorHAnsi" w:hAnsiTheme="minorHAnsi" w:cstheme="minorHAnsi"/>
                <w:noProof/>
                <w:sz w:val="22"/>
                <w:szCs w:val="22"/>
              </w:rPr>
              <w:t xml:space="preserve"> [kwalifikowalność wydatków]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12</w:t>
            </w:r>
            <w:r w:rsidRPr="0058630A">
              <w:rPr>
                <w:rFonts w:asciiTheme="minorHAnsi" w:hAnsiTheme="minorHAnsi" w:cstheme="minorHAnsi"/>
                <w:noProof/>
                <w:webHidden/>
                <w:sz w:val="22"/>
                <w:szCs w:val="22"/>
              </w:rPr>
              <w:fldChar w:fldCharType="end"/>
            </w:r>
          </w:hyperlink>
        </w:p>
        <w:p w14:paraId="3172B4F5" w14:textId="1F8594F0" w:rsidR="0058630A" w:rsidRPr="0058630A" w:rsidRDefault="0058630A">
          <w:pPr>
            <w:pStyle w:val="Spistreci2"/>
            <w:rPr>
              <w:rFonts w:asciiTheme="minorHAnsi" w:eastAsiaTheme="minorEastAsia" w:hAnsiTheme="minorHAnsi" w:cstheme="minorHAnsi"/>
              <w:noProof/>
              <w:sz w:val="22"/>
              <w:szCs w:val="22"/>
            </w:rPr>
          </w:pPr>
          <w:hyperlink w:anchor="_Toc191578366" w:history="1">
            <w:r w:rsidRPr="0058630A">
              <w:rPr>
                <w:rStyle w:val="Hipercze"/>
                <w:rFonts w:asciiTheme="minorHAnsi" w:hAnsiTheme="minorHAnsi" w:cstheme="minorHAnsi"/>
                <w:bCs/>
                <w:noProof/>
                <w:sz w:val="22"/>
                <w:szCs w:val="22"/>
              </w:rPr>
              <w:t>Artykuł 8</w:t>
            </w:r>
            <w:r w:rsidRPr="0058630A">
              <w:rPr>
                <w:rStyle w:val="Hipercze"/>
                <w:rFonts w:asciiTheme="minorHAnsi" w:hAnsiTheme="minorHAnsi" w:cstheme="minorHAnsi"/>
                <w:noProof/>
                <w:sz w:val="22"/>
                <w:szCs w:val="22"/>
              </w:rPr>
              <w:t xml:space="preserve"> [udzielanie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13</w:t>
            </w:r>
            <w:r w:rsidRPr="0058630A">
              <w:rPr>
                <w:rFonts w:asciiTheme="minorHAnsi" w:hAnsiTheme="minorHAnsi" w:cstheme="minorHAnsi"/>
                <w:noProof/>
                <w:webHidden/>
                <w:sz w:val="22"/>
                <w:szCs w:val="22"/>
              </w:rPr>
              <w:fldChar w:fldCharType="end"/>
            </w:r>
          </w:hyperlink>
        </w:p>
        <w:p w14:paraId="1894F8E4" w14:textId="5ED8FDE9" w:rsidR="0058630A" w:rsidRPr="0058630A" w:rsidRDefault="0058630A">
          <w:pPr>
            <w:pStyle w:val="Spistreci2"/>
            <w:rPr>
              <w:rFonts w:asciiTheme="minorHAnsi" w:eastAsiaTheme="minorEastAsia" w:hAnsiTheme="minorHAnsi" w:cstheme="minorHAnsi"/>
              <w:noProof/>
              <w:sz w:val="22"/>
              <w:szCs w:val="22"/>
            </w:rPr>
          </w:pPr>
          <w:hyperlink w:anchor="_Toc191578367" w:history="1">
            <w:r w:rsidRPr="0058630A">
              <w:rPr>
                <w:rStyle w:val="Hipercze"/>
                <w:rFonts w:asciiTheme="minorHAnsi" w:hAnsiTheme="minorHAnsi" w:cstheme="minorHAnsi"/>
                <w:bCs/>
                <w:noProof/>
                <w:sz w:val="22"/>
                <w:szCs w:val="22"/>
              </w:rPr>
              <w:t>Artykuł 9</w:t>
            </w:r>
            <w:r w:rsidRPr="0058630A">
              <w:rPr>
                <w:rStyle w:val="Hipercze"/>
                <w:rFonts w:asciiTheme="minorHAnsi" w:hAnsiTheme="minorHAnsi" w:cstheme="minorHAnsi"/>
                <w:noProof/>
                <w:sz w:val="22"/>
                <w:szCs w:val="22"/>
              </w:rPr>
              <w:t xml:space="preserve"> [warunki udzielenia zaliczki]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14</w:t>
            </w:r>
            <w:r w:rsidRPr="0058630A">
              <w:rPr>
                <w:rFonts w:asciiTheme="minorHAnsi" w:hAnsiTheme="minorHAnsi" w:cstheme="minorHAnsi"/>
                <w:noProof/>
                <w:webHidden/>
                <w:sz w:val="22"/>
                <w:szCs w:val="22"/>
              </w:rPr>
              <w:fldChar w:fldCharType="end"/>
            </w:r>
          </w:hyperlink>
        </w:p>
        <w:p w14:paraId="261D0D29" w14:textId="70FEC1B9" w:rsidR="0058630A" w:rsidRPr="0058630A" w:rsidRDefault="0058630A">
          <w:pPr>
            <w:pStyle w:val="Spistreci2"/>
            <w:rPr>
              <w:rFonts w:asciiTheme="minorHAnsi" w:eastAsiaTheme="minorEastAsia" w:hAnsiTheme="minorHAnsi" w:cstheme="minorHAnsi"/>
              <w:noProof/>
              <w:sz w:val="22"/>
              <w:szCs w:val="22"/>
            </w:rPr>
          </w:pPr>
          <w:hyperlink w:anchor="_Toc191578368" w:history="1">
            <w:r w:rsidRPr="0058630A">
              <w:rPr>
                <w:rStyle w:val="Hipercze"/>
                <w:rFonts w:asciiTheme="minorHAnsi" w:hAnsiTheme="minorHAnsi" w:cstheme="minorHAnsi"/>
                <w:bCs/>
                <w:noProof/>
                <w:sz w:val="22"/>
                <w:szCs w:val="22"/>
              </w:rPr>
              <w:t>Artykuł 10</w:t>
            </w:r>
            <w:r w:rsidRPr="0058630A">
              <w:rPr>
                <w:rStyle w:val="Hipercze"/>
                <w:rFonts w:asciiTheme="minorHAnsi" w:hAnsiTheme="minorHAnsi" w:cstheme="minorHAnsi"/>
                <w:noProof/>
                <w:sz w:val="22"/>
                <w:szCs w:val="22"/>
              </w:rPr>
              <w:t xml:space="preserve"> [Wnioski o płatność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15</w:t>
            </w:r>
            <w:r w:rsidRPr="0058630A">
              <w:rPr>
                <w:rFonts w:asciiTheme="minorHAnsi" w:hAnsiTheme="minorHAnsi" w:cstheme="minorHAnsi"/>
                <w:noProof/>
                <w:webHidden/>
                <w:sz w:val="22"/>
                <w:szCs w:val="22"/>
              </w:rPr>
              <w:fldChar w:fldCharType="end"/>
            </w:r>
          </w:hyperlink>
        </w:p>
        <w:p w14:paraId="438E9890" w14:textId="12A012B4" w:rsidR="0058630A" w:rsidRPr="0058630A" w:rsidRDefault="0058630A">
          <w:pPr>
            <w:pStyle w:val="Spistreci2"/>
            <w:rPr>
              <w:rFonts w:asciiTheme="minorHAnsi" w:eastAsiaTheme="minorEastAsia" w:hAnsiTheme="minorHAnsi" w:cstheme="minorHAnsi"/>
              <w:noProof/>
              <w:sz w:val="22"/>
              <w:szCs w:val="22"/>
            </w:rPr>
          </w:pPr>
          <w:hyperlink w:anchor="_Toc191578369" w:history="1">
            <w:r w:rsidRPr="0058630A">
              <w:rPr>
                <w:rStyle w:val="Hipercze"/>
                <w:rFonts w:asciiTheme="minorHAnsi" w:hAnsiTheme="minorHAnsi" w:cstheme="minorHAnsi"/>
                <w:bCs/>
                <w:noProof/>
                <w:sz w:val="22"/>
                <w:szCs w:val="22"/>
              </w:rPr>
              <w:t>Artykuł 11</w:t>
            </w:r>
            <w:r w:rsidRPr="0058630A">
              <w:rPr>
                <w:rStyle w:val="Hipercze"/>
                <w:rFonts w:asciiTheme="minorHAnsi" w:hAnsiTheme="minorHAnsi" w:cstheme="minorHAnsi"/>
                <w:noProof/>
                <w:sz w:val="22"/>
                <w:szCs w:val="22"/>
              </w:rPr>
              <w:t xml:space="preserve"> [ewidencja księgowa w ramach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507FAEC5" w14:textId="741C7962" w:rsidR="0058630A" w:rsidRPr="0058630A" w:rsidRDefault="0058630A">
          <w:pPr>
            <w:pStyle w:val="Spistreci2"/>
            <w:rPr>
              <w:rFonts w:asciiTheme="minorHAnsi" w:eastAsiaTheme="minorEastAsia" w:hAnsiTheme="minorHAnsi" w:cstheme="minorHAnsi"/>
              <w:noProof/>
              <w:sz w:val="22"/>
              <w:szCs w:val="22"/>
            </w:rPr>
          </w:pPr>
          <w:hyperlink w:anchor="_Toc191578370" w:history="1">
            <w:r w:rsidRPr="0058630A">
              <w:rPr>
                <w:rStyle w:val="Hipercze"/>
                <w:rFonts w:asciiTheme="minorHAnsi" w:hAnsiTheme="minorHAnsi" w:cstheme="minorHAnsi"/>
                <w:bCs/>
                <w:noProof/>
                <w:sz w:val="22"/>
                <w:szCs w:val="22"/>
              </w:rPr>
              <w:t xml:space="preserve">Artykuł 12 </w:t>
            </w:r>
            <w:r w:rsidRPr="0058630A">
              <w:rPr>
                <w:rStyle w:val="Hipercze"/>
                <w:rFonts w:asciiTheme="minorHAnsi" w:hAnsiTheme="minorHAnsi" w:cstheme="minorHAnsi"/>
                <w:noProof/>
                <w:sz w:val="22"/>
                <w:szCs w:val="22"/>
              </w:rPr>
              <w:t>[promocja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4D6088F8" w14:textId="3FD0A3F6" w:rsidR="0058630A" w:rsidRPr="0058630A" w:rsidRDefault="0058630A">
          <w:pPr>
            <w:pStyle w:val="Spistreci2"/>
            <w:rPr>
              <w:rFonts w:asciiTheme="minorHAnsi" w:eastAsiaTheme="minorEastAsia" w:hAnsiTheme="minorHAnsi" w:cstheme="minorHAnsi"/>
              <w:noProof/>
              <w:sz w:val="22"/>
              <w:szCs w:val="22"/>
            </w:rPr>
          </w:pPr>
          <w:hyperlink w:anchor="_Toc191578371" w:history="1">
            <w:r w:rsidRPr="0058630A">
              <w:rPr>
                <w:rStyle w:val="Hipercze"/>
                <w:rFonts w:asciiTheme="minorHAnsi" w:hAnsiTheme="minorHAnsi" w:cstheme="minorHAnsi"/>
                <w:noProof/>
                <w:sz w:val="22"/>
                <w:szCs w:val="22"/>
              </w:rPr>
              <w:t>Artykuł 13 [Zasady równościowe]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22</w:t>
            </w:r>
            <w:r w:rsidRPr="0058630A">
              <w:rPr>
                <w:rFonts w:asciiTheme="minorHAnsi" w:hAnsiTheme="minorHAnsi" w:cstheme="minorHAnsi"/>
                <w:noProof/>
                <w:webHidden/>
                <w:sz w:val="22"/>
                <w:szCs w:val="22"/>
              </w:rPr>
              <w:fldChar w:fldCharType="end"/>
            </w:r>
          </w:hyperlink>
        </w:p>
        <w:p w14:paraId="0B735DED" w14:textId="4043ED1D" w:rsidR="0058630A" w:rsidRPr="0058630A" w:rsidRDefault="0058630A">
          <w:pPr>
            <w:pStyle w:val="Spistreci2"/>
            <w:rPr>
              <w:rFonts w:asciiTheme="minorHAnsi" w:eastAsiaTheme="minorEastAsia" w:hAnsiTheme="minorHAnsi" w:cstheme="minorHAnsi"/>
              <w:noProof/>
              <w:sz w:val="22"/>
              <w:szCs w:val="22"/>
            </w:rPr>
          </w:pPr>
          <w:hyperlink w:anchor="_Toc191578372" w:history="1">
            <w:r w:rsidRPr="0058630A">
              <w:rPr>
                <w:rStyle w:val="Hipercze"/>
                <w:rFonts w:asciiTheme="minorHAnsi" w:hAnsiTheme="minorHAnsi" w:cstheme="minorHAnsi"/>
                <w:bCs/>
                <w:noProof/>
                <w:sz w:val="22"/>
                <w:szCs w:val="22"/>
              </w:rPr>
              <w:t>Artykuł 14</w:t>
            </w:r>
            <w:r w:rsidRPr="0058630A">
              <w:rPr>
                <w:rStyle w:val="Hipercze"/>
                <w:rFonts w:asciiTheme="minorHAnsi" w:hAnsiTheme="minorHAnsi" w:cstheme="minorHAnsi"/>
                <w:noProof/>
                <w:sz w:val="22"/>
                <w:szCs w:val="22"/>
              </w:rPr>
              <w:t xml:space="preserve"> [zakaz cesji]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63E6F9AE" w14:textId="3B395C2E" w:rsidR="0058630A" w:rsidRPr="0058630A" w:rsidRDefault="0058630A">
          <w:pPr>
            <w:pStyle w:val="Spistreci2"/>
            <w:rPr>
              <w:rFonts w:asciiTheme="minorHAnsi" w:eastAsiaTheme="minorEastAsia" w:hAnsiTheme="minorHAnsi" w:cstheme="minorHAnsi"/>
              <w:noProof/>
              <w:sz w:val="22"/>
              <w:szCs w:val="22"/>
            </w:rPr>
          </w:pPr>
          <w:hyperlink w:anchor="_Toc191578373" w:history="1">
            <w:r w:rsidRPr="0058630A">
              <w:rPr>
                <w:rStyle w:val="Hipercze"/>
                <w:rFonts w:asciiTheme="minorHAnsi" w:hAnsiTheme="minorHAnsi" w:cstheme="minorHAnsi"/>
                <w:bCs/>
                <w:noProof/>
                <w:sz w:val="22"/>
                <w:szCs w:val="22"/>
              </w:rPr>
              <w:t>Artykuł 15</w:t>
            </w:r>
            <w:r w:rsidRPr="0058630A">
              <w:rPr>
                <w:rStyle w:val="Hipercze"/>
                <w:rFonts w:asciiTheme="minorHAnsi" w:hAnsiTheme="minorHAnsi" w:cstheme="minorHAnsi"/>
                <w:noProof/>
                <w:sz w:val="22"/>
                <w:szCs w:val="22"/>
              </w:rPr>
              <w:t xml:space="preserve"> [zmiany w Projekcie i Umowie]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2F0564F9" w14:textId="203C07A0"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4" w:history="1">
            <w:r w:rsidRPr="0058630A">
              <w:rPr>
                <w:rStyle w:val="Hipercze"/>
                <w:rFonts w:asciiTheme="minorHAnsi" w:hAnsiTheme="minorHAnsi" w:cstheme="minorHAnsi"/>
                <w:noProof/>
                <w:sz w:val="22"/>
                <w:szCs w:val="22"/>
              </w:rPr>
              <w:t>Rozdział III [kontrola prawidłowej realizacji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7CFF7959" w14:textId="32EA4ACE" w:rsidR="0058630A" w:rsidRPr="0058630A" w:rsidRDefault="0058630A">
          <w:pPr>
            <w:pStyle w:val="Spistreci2"/>
            <w:rPr>
              <w:rFonts w:asciiTheme="minorHAnsi" w:eastAsiaTheme="minorEastAsia" w:hAnsiTheme="minorHAnsi" w:cstheme="minorHAnsi"/>
              <w:noProof/>
              <w:sz w:val="22"/>
              <w:szCs w:val="22"/>
            </w:rPr>
          </w:pPr>
          <w:hyperlink w:anchor="_Toc191578375" w:history="1">
            <w:r w:rsidRPr="0058630A">
              <w:rPr>
                <w:rStyle w:val="Hipercze"/>
                <w:rFonts w:asciiTheme="minorHAnsi" w:hAnsiTheme="minorHAnsi" w:cstheme="minorHAnsi"/>
                <w:noProof/>
                <w:sz w:val="22"/>
                <w:szCs w:val="22"/>
              </w:rPr>
              <w:t>Artykuł 16 [weryfikacja i kontrola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6FDF43D0" w14:textId="549784F4" w:rsidR="0058630A" w:rsidRPr="0058630A" w:rsidRDefault="0058630A">
          <w:pPr>
            <w:pStyle w:val="Spistreci2"/>
            <w:rPr>
              <w:rFonts w:asciiTheme="minorHAnsi" w:eastAsiaTheme="minorEastAsia" w:hAnsiTheme="minorHAnsi" w:cstheme="minorHAnsi"/>
              <w:noProof/>
              <w:sz w:val="22"/>
              <w:szCs w:val="22"/>
            </w:rPr>
          </w:pPr>
          <w:hyperlink w:anchor="_Toc191578376" w:history="1">
            <w:r w:rsidRPr="0058630A">
              <w:rPr>
                <w:rStyle w:val="Hipercze"/>
                <w:rFonts w:asciiTheme="minorHAnsi" w:hAnsiTheme="minorHAnsi" w:cstheme="minorHAnsi"/>
                <w:bCs/>
                <w:noProof/>
                <w:sz w:val="22"/>
                <w:szCs w:val="22"/>
              </w:rPr>
              <w:t>Artykuł 17</w:t>
            </w:r>
            <w:r w:rsidRPr="0058630A">
              <w:rPr>
                <w:rStyle w:val="Hipercze"/>
                <w:rFonts w:asciiTheme="minorHAnsi" w:hAnsiTheme="minorHAnsi" w:cstheme="minorHAnsi"/>
                <w:noProof/>
                <w:sz w:val="22"/>
                <w:szCs w:val="22"/>
              </w:rPr>
              <w:t xml:space="preserve"> [kontrola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26</w:t>
            </w:r>
            <w:r w:rsidRPr="0058630A">
              <w:rPr>
                <w:rFonts w:asciiTheme="minorHAnsi" w:hAnsiTheme="minorHAnsi" w:cstheme="minorHAnsi"/>
                <w:noProof/>
                <w:webHidden/>
                <w:sz w:val="22"/>
                <w:szCs w:val="22"/>
              </w:rPr>
              <w:fldChar w:fldCharType="end"/>
            </w:r>
          </w:hyperlink>
        </w:p>
        <w:p w14:paraId="633985C3" w14:textId="0427336A"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7" w:history="1">
            <w:r w:rsidRPr="0058630A">
              <w:rPr>
                <w:rStyle w:val="Hipercze"/>
                <w:rFonts w:asciiTheme="minorHAnsi" w:hAnsiTheme="minorHAnsi" w:cstheme="minorHAnsi"/>
                <w:noProof/>
                <w:sz w:val="22"/>
                <w:szCs w:val="22"/>
              </w:rPr>
              <w:t>Rozdział IV [postępowanie z nieprawidłowościami, rozwiązanie Umowy i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30CD65C7" w14:textId="37AE4CC1" w:rsidR="0058630A" w:rsidRPr="0058630A" w:rsidRDefault="0058630A">
          <w:pPr>
            <w:pStyle w:val="Spistreci2"/>
            <w:rPr>
              <w:rFonts w:asciiTheme="minorHAnsi" w:eastAsiaTheme="minorEastAsia" w:hAnsiTheme="minorHAnsi" w:cstheme="minorHAnsi"/>
              <w:noProof/>
              <w:sz w:val="22"/>
              <w:szCs w:val="22"/>
            </w:rPr>
          </w:pPr>
          <w:hyperlink w:anchor="_Toc191578378" w:history="1">
            <w:r w:rsidRPr="0058630A">
              <w:rPr>
                <w:rStyle w:val="Hipercze"/>
                <w:rFonts w:asciiTheme="minorHAnsi" w:hAnsiTheme="minorHAnsi" w:cstheme="minorHAnsi"/>
                <w:bCs/>
                <w:noProof/>
                <w:sz w:val="22"/>
                <w:szCs w:val="22"/>
              </w:rPr>
              <w:t>Artykuł 18</w:t>
            </w:r>
            <w:r w:rsidRPr="0058630A">
              <w:rPr>
                <w:rStyle w:val="Hipercze"/>
                <w:rFonts w:asciiTheme="minorHAnsi" w:hAnsiTheme="minorHAnsi" w:cstheme="minorHAnsi"/>
                <w:noProof/>
                <w:sz w:val="22"/>
                <w:szCs w:val="22"/>
              </w:rPr>
              <w:t xml:space="preserve"> [postępowanie z nieprawidłowościami]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52C65843" w14:textId="1C74CBA6" w:rsidR="0058630A" w:rsidRPr="0058630A" w:rsidRDefault="0058630A">
          <w:pPr>
            <w:pStyle w:val="Spistreci2"/>
            <w:rPr>
              <w:rFonts w:asciiTheme="minorHAnsi" w:eastAsiaTheme="minorEastAsia" w:hAnsiTheme="minorHAnsi" w:cstheme="minorHAnsi"/>
              <w:noProof/>
              <w:sz w:val="22"/>
              <w:szCs w:val="22"/>
            </w:rPr>
          </w:pPr>
          <w:hyperlink w:anchor="_Toc191578379" w:history="1">
            <w:r w:rsidRPr="0058630A">
              <w:rPr>
                <w:rStyle w:val="Hipercze"/>
                <w:rFonts w:asciiTheme="minorHAnsi" w:hAnsiTheme="minorHAnsi" w:cstheme="minorHAnsi"/>
                <w:bCs/>
                <w:noProof/>
                <w:sz w:val="22"/>
                <w:szCs w:val="22"/>
              </w:rPr>
              <w:t>Artykuł 19</w:t>
            </w:r>
            <w:r w:rsidRPr="0058630A">
              <w:rPr>
                <w:rStyle w:val="Hipercze"/>
                <w:rFonts w:asciiTheme="minorHAnsi" w:hAnsiTheme="minorHAnsi" w:cstheme="minorHAnsi"/>
                <w:noProof/>
                <w:sz w:val="22"/>
                <w:szCs w:val="22"/>
              </w:rPr>
              <w:t xml:space="preserve">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1E34DB6F" w14:textId="33A371E6" w:rsidR="0058630A" w:rsidRPr="0058630A" w:rsidRDefault="0058630A">
          <w:pPr>
            <w:pStyle w:val="Spistreci2"/>
            <w:rPr>
              <w:rFonts w:asciiTheme="minorHAnsi" w:eastAsiaTheme="minorEastAsia" w:hAnsiTheme="minorHAnsi" w:cstheme="minorHAnsi"/>
              <w:noProof/>
              <w:sz w:val="22"/>
              <w:szCs w:val="22"/>
            </w:rPr>
          </w:pPr>
          <w:hyperlink w:anchor="_Toc191578380" w:history="1">
            <w:r w:rsidRPr="0058630A">
              <w:rPr>
                <w:rStyle w:val="Hipercze"/>
                <w:rFonts w:asciiTheme="minorHAnsi" w:hAnsiTheme="minorHAnsi" w:cstheme="minorHAnsi"/>
                <w:bCs/>
                <w:noProof/>
                <w:sz w:val="22"/>
                <w:szCs w:val="22"/>
              </w:rPr>
              <w:t>Artykuł 20</w:t>
            </w:r>
            <w:r w:rsidRPr="0058630A">
              <w:rPr>
                <w:rStyle w:val="Hipercze"/>
                <w:rFonts w:asciiTheme="minorHAnsi" w:hAnsiTheme="minorHAnsi" w:cstheme="minorHAnsi"/>
                <w:noProof/>
                <w:sz w:val="22"/>
                <w:szCs w:val="22"/>
              </w:rPr>
              <w:t xml:space="preserve"> [rozwiązanie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6CD2E3AC" w14:textId="51902EC6" w:rsidR="0058630A" w:rsidRPr="0058630A" w:rsidRDefault="0058630A">
          <w:pPr>
            <w:pStyle w:val="Spistreci2"/>
            <w:rPr>
              <w:rFonts w:asciiTheme="minorHAnsi" w:eastAsiaTheme="minorEastAsia" w:hAnsiTheme="minorHAnsi" w:cstheme="minorHAnsi"/>
              <w:noProof/>
              <w:sz w:val="22"/>
              <w:szCs w:val="22"/>
            </w:rPr>
          </w:pPr>
          <w:hyperlink w:anchor="_Toc191578381" w:history="1">
            <w:r w:rsidRPr="0058630A">
              <w:rPr>
                <w:rStyle w:val="Hipercze"/>
                <w:rFonts w:asciiTheme="minorHAnsi" w:hAnsiTheme="minorHAnsi" w:cstheme="minorHAnsi"/>
                <w:bCs/>
                <w:noProof/>
                <w:sz w:val="22"/>
                <w:szCs w:val="22"/>
              </w:rPr>
              <w:t>Artykuł 21</w:t>
            </w:r>
            <w:r w:rsidRPr="0058630A">
              <w:rPr>
                <w:rStyle w:val="Hipercze"/>
                <w:rFonts w:asciiTheme="minorHAnsi" w:hAnsiTheme="minorHAnsi" w:cstheme="minorHAnsi"/>
                <w:noProof/>
                <w:sz w:val="22"/>
                <w:szCs w:val="22"/>
              </w:rPr>
              <w:t xml:space="preserve"> [archiwizacja dokumentów]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29</w:t>
            </w:r>
            <w:r w:rsidRPr="0058630A">
              <w:rPr>
                <w:rFonts w:asciiTheme="minorHAnsi" w:hAnsiTheme="minorHAnsi" w:cstheme="minorHAnsi"/>
                <w:noProof/>
                <w:webHidden/>
                <w:sz w:val="22"/>
                <w:szCs w:val="22"/>
              </w:rPr>
              <w:fldChar w:fldCharType="end"/>
            </w:r>
          </w:hyperlink>
        </w:p>
        <w:p w14:paraId="71754015" w14:textId="386541DB"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82" w:history="1">
            <w:r w:rsidRPr="0058630A">
              <w:rPr>
                <w:rStyle w:val="Hipercze"/>
                <w:rFonts w:asciiTheme="minorHAnsi" w:hAnsiTheme="minorHAnsi" w:cstheme="minorHAnsi"/>
                <w:noProof/>
                <w:sz w:val="22"/>
                <w:szCs w:val="22"/>
              </w:rPr>
              <w:t>Rozdział V [postanowienia końcowe]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A28568C" w14:textId="3C3BE06B" w:rsidR="0058630A" w:rsidRPr="0058630A" w:rsidRDefault="0058630A">
          <w:pPr>
            <w:pStyle w:val="Spistreci2"/>
            <w:rPr>
              <w:rFonts w:asciiTheme="minorHAnsi" w:eastAsiaTheme="minorEastAsia" w:hAnsiTheme="minorHAnsi" w:cstheme="minorHAnsi"/>
              <w:noProof/>
              <w:sz w:val="22"/>
              <w:szCs w:val="22"/>
            </w:rPr>
          </w:pPr>
          <w:hyperlink w:anchor="_Toc191578383" w:history="1">
            <w:r w:rsidRPr="0058630A">
              <w:rPr>
                <w:rStyle w:val="Hipercze"/>
                <w:rFonts w:asciiTheme="minorHAnsi" w:hAnsiTheme="minorHAnsi" w:cstheme="minorHAnsi"/>
                <w:bCs/>
                <w:noProof/>
                <w:sz w:val="22"/>
                <w:szCs w:val="22"/>
              </w:rPr>
              <w:t>Artykuł 22</w:t>
            </w:r>
            <w:r w:rsidRPr="0058630A">
              <w:rPr>
                <w:rStyle w:val="Hipercze"/>
                <w:rFonts w:asciiTheme="minorHAnsi" w:hAnsiTheme="minorHAnsi" w:cstheme="minorHAnsi"/>
                <w:noProof/>
                <w:sz w:val="22"/>
                <w:szCs w:val="22"/>
              </w:rPr>
              <w:t xml:space="preserve"> [prawo właściwe oraz język Umowy i porozumiewania się]</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88D0882" w14:textId="251D7473" w:rsidR="0058630A" w:rsidRPr="0058630A" w:rsidRDefault="0058630A">
          <w:pPr>
            <w:pStyle w:val="Spistreci2"/>
            <w:rPr>
              <w:rFonts w:asciiTheme="minorHAnsi" w:eastAsiaTheme="minorEastAsia" w:hAnsiTheme="minorHAnsi" w:cstheme="minorHAnsi"/>
              <w:noProof/>
              <w:sz w:val="22"/>
              <w:szCs w:val="22"/>
            </w:rPr>
          </w:pPr>
          <w:hyperlink w:anchor="_Toc191578384" w:history="1">
            <w:r w:rsidRPr="0058630A">
              <w:rPr>
                <w:rStyle w:val="Hipercze"/>
                <w:rFonts w:asciiTheme="minorHAnsi" w:hAnsiTheme="minorHAnsi" w:cstheme="minorHAnsi"/>
                <w:bCs/>
                <w:noProof/>
                <w:sz w:val="22"/>
                <w:szCs w:val="22"/>
              </w:rPr>
              <w:t>Artykuł 23</w:t>
            </w:r>
            <w:r w:rsidRPr="0058630A">
              <w:rPr>
                <w:rStyle w:val="Hipercze"/>
                <w:rFonts w:asciiTheme="minorHAnsi" w:hAnsiTheme="minorHAnsi" w:cstheme="minorHAnsi"/>
                <w:noProof/>
                <w:sz w:val="22"/>
                <w:szCs w:val="22"/>
              </w:rPr>
              <w:t xml:space="preserve"> [rozstrzyganie sporów]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9"/>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10"/>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11"/>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2"/>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3"/>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w:t>
      </w:r>
      <w:r w:rsidR="00DD119B">
        <w:rPr>
          <w:rFonts w:asciiTheme="minorHAnsi" w:hAnsiTheme="minorHAnsi"/>
          <w:i/>
          <w:iCs/>
          <w:sz w:val="22"/>
          <w:szCs w:val="22"/>
        </w:rPr>
        <w:t>mis</w:t>
      </w:r>
      <w:r w:rsidR="00DD119B">
        <w:rPr>
          <w:rStyle w:val="Odwoanieprzypisudolnego"/>
          <w:rFonts w:asciiTheme="minorHAnsi" w:hAnsiTheme="minorHAnsi"/>
          <w:i/>
          <w:iCs/>
          <w:sz w:val="22"/>
          <w:szCs w:val="22"/>
        </w:rPr>
        <w:footnoteReference w:id="14"/>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5"/>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6"/>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7"/>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ws.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4"/>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591BBB"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w:t>
      </w:r>
      <w:r w:rsidRPr="00591BBB">
        <w:rPr>
          <w:rFonts w:ascii="Calibri" w:hAnsi="Calibri"/>
          <w:b/>
          <w:bCs/>
          <w:spacing w:val="-6"/>
          <w:sz w:val="22"/>
          <w:szCs w:val="22"/>
        </w:rPr>
        <w:t>numer uchwały]</w:t>
      </w:r>
      <w:r w:rsidRPr="00591BBB">
        <w:rPr>
          <w:rFonts w:ascii="Calibri" w:hAnsi="Calibri"/>
          <w:bCs/>
          <w:spacing w:val="-6"/>
          <w:sz w:val="22"/>
          <w:szCs w:val="22"/>
        </w:rPr>
        <w:t xml:space="preserve">  </w:t>
      </w:r>
      <w:r w:rsidR="0059448B" w:rsidRPr="00591BBB">
        <w:rPr>
          <w:rFonts w:ascii="Calibri" w:hAnsi="Calibri"/>
          <w:bCs/>
          <w:spacing w:val="-6"/>
          <w:sz w:val="22"/>
          <w:szCs w:val="22"/>
        </w:rPr>
        <w:t xml:space="preserve">………………………..Lokalnej Grupy Działania </w:t>
      </w:r>
      <w:r w:rsidRPr="00591BBB">
        <w:rPr>
          <w:rFonts w:ascii="Calibri" w:hAnsi="Calibri"/>
          <w:bCs/>
          <w:spacing w:val="-6"/>
          <w:sz w:val="22"/>
          <w:szCs w:val="22"/>
        </w:rPr>
        <w:t xml:space="preserve">z dnia </w:t>
      </w:r>
      <w:r w:rsidRPr="00591BBB">
        <w:rPr>
          <w:rFonts w:ascii="Calibri" w:hAnsi="Calibri"/>
          <w:b/>
          <w:bCs/>
          <w:spacing w:val="-6"/>
          <w:sz w:val="22"/>
          <w:szCs w:val="22"/>
        </w:rPr>
        <w:t>[data uchwały]</w:t>
      </w:r>
      <w:r w:rsidRPr="00591BBB">
        <w:rPr>
          <w:rFonts w:ascii="Calibri" w:hAnsi="Calibri"/>
          <w:bCs/>
          <w:spacing w:val="-6"/>
          <w:sz w:val="22"/>
          <w:szCs w:val="22"/>
        </w:rPr>
        <w:t xml:space="preserve"> r. – dalej: „Regulamin </w:t>
      </w:r>
      <w:r w:rsidR="000A17EC" w:rsidRPr="00591BBB">
        <w:rPr>
          <w:rFonts w:ascii="Calibri" w:hAnsi="Calibri"/>
          <w:bCs/>
          <w:spacing w:val="-6"/>
          <w:sz w:val="22"/>
          <w:szCs w:val="22"/>
        </w:rPr>
        <w:t>naboru wniosków</w:t>
      </w:r>
      <w:r w:rsidRPr="00591BBB">
        <w:rPr>
          <w:rFonts w:ascii="Calibri" w:hAnsi="Calibri"/>
          <w:bCs/>
          <w:spacing w:val="-6"/>
          <w:sz w:val="22"/>
          <w:szCs w:val="22"/>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7DD27D07"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w:t>
      </w:r>
      <w:r w:rsidR="00E05119">
        <w:rPr>
          <w:rFonts w:ascii="Calibri" w:hAnsi="Calibri"/>
          <w:sz w:val="22"/>
          <w:szCs w:val="22"/>
        </w:rPr>
        <w:lastRenderedPageBreak/>
        <w:t xml:space="preserve">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39C79753"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0B473D">
        <w:rPr>
          <w:rFonts w:ascii="Calibri" w:hAnsi="Calibri"/>
          <w:sz w:val="22"/>
          <w:szCs w:val="22"/>
        </w:rPr>
        <w:t>6</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62F0AE7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B473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0994DC8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0B473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7"/>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2F89AB"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lastRenderedPageBreak/>
        <w:t xml:space="preserve">powyżej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8"/>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26B449C0"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9"/>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nałożoną korektę </w:t>
      </w:r>
      <w:r w:rsidRPr="00C66CA0">
        <w:rPr>
          <w:rFonts w:ascii="Calibri" w:hAnsi="Calibri"/>
          <w:sz w:val="22"/>
          <w:szCs w:val="22"/>
        </w:rPr>
        <w:lastRenderedPageBreak/>
        <w:t>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30"/>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lastRenderedPageBreak/>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lastRenderedPageBreak/>
        <w:t>umieszczania w widoczny sposób znaku Funduszy Europejskich, znaku barw Rzeczypospolitej Polskiej (jeśli dotyczy; wersja pełnokolorowa)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31"/>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19924B05"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4834DC">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57C8C249"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4834DC">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publiczna dystrybucja utworów lub ich kopii we wszelkich formach (np. książka, broszura, CD,  Internet)</w:t>
      </w:r>
      <w:r>
        <w:rPr>
          <w:rFonts w:asciiTheme="minorHAnsi" w:hAnsiTheme="minorHAnsi" w:cstheme="minorHAnsi"/>
          <w:color w:val="000000"/>
          <w:sz w:val="22"/>
          <w:szCs w:val="22"/>
        </w:rPr>
        <w:t>;</w:t>
      </w:r>
    </w:p>
    <w:p w14:paraId="6403869A" w14:textId="154C8F96"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w:t>
      </w:r>
      <w:r w:rsidR="004834DC">
        <w:rPr>
          <w:rFonts w:asciiTheme="minorHAnsi" w:hAnsiTheme="minorHAnsi" w:cstheme="minorHAnsi"/>
          <w:sz w:val="22"/>
          <w:szCs w:val="22"/>
        </w:rPr>
        <w:t>i</w:t>
      </w:r>
      <w:r w:rsidRPr="00074EB0">
        <w:rPr>
          <w:rFonts w:asciiTheme="minorHAnsi" w:hAnsiTheme="minorHAnsi" w:cstheme="minorHAnsi"/>
          <w:sz w:val="22"/>
          <w:szCs w:val="22"/>
        </w:rPr>
        <w:t>ich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lastRenderedPageBreak/>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62FA8CF0"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w:t>
      </w:r>
      <w:r w:rsidR="004834DC">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lastRenderedPageBreak/>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ante.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ex-ante</w:t>
      </w:r>
      <w:r w:rsidRPr="006F4E2C">
        <w:rPr>
          <w:rFonts w:ascii="Calibri" w:hAnsi="Calibri"/>
          <w:spacing w:val="-6"/>
          <w:sz w:val="22"/>
          <w:szCs w:val="22"/>
        </w:rPr>
        <w:t>, o czym poinformuje Beneficjenta.</w:t>
      </w:r>
    </w:p>
    <w:p w14:paraId="7CF9EEA3" w14:textId="562D92FE"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w:t>
      </w:r>
      <w:r w:rsidRPr="006F4E2C">
        <w:rPr>
          <w:rFonts w:ascii="Calibri" w:hAnsi="Calibri"/>
          <w:spacing w:val="-6"/>
          <w:sz w:val="22"/>
          <w:szCs w:val="22"/>
        </w:rPr>
        <w:lastRenderedPageBreak/>
        <w:t xml:space="preserve">opublikowaniem – w celu weryfikacji </w:t>
      </w:r>
      <w:r w:rsidRPr="006F4E2C">
        <w:rPr>
          <w:rFonts w:ascii="Calibri" w:hAnsi="Calibri"/>
          <w:i/>
          <w:spacing w:val="-6"/>
          <w:sz w:val="22"/>
          <w:szCs w:val="22"/>
        </w:rPr>
        <w:t>ex ante</w:t>
      </w:r>
      <w:r w:rsidR="004834DC">
        <w:rPr>
          <w:rStyle w:val="Odwoanieprzypisudolnego"/>
          <w:rFonts w:ascii="Calibri" w:hAnsi="Calibri"/>
          <w:i/>
          <w:spacing w:val="-6"/>
          <w:sz w:val="22"/>
          <w:szCs w:val="22"/>
        </w:rPr>
        <w:footnoteReference w:id="36"/>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4FC2046C"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4834DC">
        <w:rPr>
          <w:rStyle w:val="Odwoanieprzypisudolnego"/>
          <w:rFonts w:asciiTheme="minorHAnsi" w:hAnsiTheme="minorHAnsi"/>
          <w:sz w:val="22"/>
          <w:szCs w:val="22"/>
        </w:rPr>
        <w:footnoteReference w:id="37"/>
      </w:r>
      <w:r>
        <w:rPr>
          <w:rFonts w:asciiTheme="minorHAnsi" w:hAnsiTheme="minorHAnsi"/>
          <w:sz w:val="22"/>
          <w:szCs w:val="22"/>
        </w:rPr>
        <w:t xml:space="preserve">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01157C0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834DC">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04B5B4C4">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8"/>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0D58F00F"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4834DC">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27FDDE9F" w:rsidR="00D67E82" w:rsidRDefault="004834DC" w:rsidP="002616CD">
      <w:pPr>
        <w:pStyle w:val="Akapitzlist"/>
        <w:numPr>
          <w:ilvl w:val="0"/>
          <w:numId w:val="6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tytuł lub skrócony </w:t>
      </w:r>
      <w:r w:rsidR="0069385B" w:rsidRPr="00D67E82">
        <w:rPr>
          <w:rFonts w:asciiTheme="minorHAnsi" w:hAnsiTheme="minorHAnsi" w:cstheme="minorHAnsi"/>
          <w:sz w:val="22"/>
          <w:szCs w:val="22"/>
        </w:rPr>
        <w:t>tytuł projektu (</w:t>
      </w:r>
      <w:r>
        <w:rPr>
          <w:rFonts w:asciiTheme="minorHAnsi" w:hAnsiTheme="minorHAnsi" w:cstheme="minorHAnsi"/>
          <w:sz w:val="22"/>
          <w:szCs w:val="22"/>
        </w:rPr>
        <w:t xml:space="preserve">musi zmieścić się w </w:t>
      </w:r>
      <w:r w:rsidR="0069385B" w:rsidRPr="00D67E82">
        <w:rPr>
          <w:rFonts w:asciiTheme="minorHAnsi" w:hAnsiTheme="minorHAnsi" w:cstheme="minorHAnsi"/>
          <w:sz w:val="22"/>
          <w:szCs w:val="22"/>
        </w:rPr>
        <w:t xml:space="preserve">maksymalnie </w:t>
      </w:r>
      <w:r>
        <w:rPr>
          <w:rFonts w:asciiTheme="minorHAnsi" w:hAnsiTheme="minorHAnsi" w:cstheme="minorHAnsi"/>
          <w:sz w:val="22"/>
          <w:szCs w:val="22"/>
        </w:rPr>
        <w:t>3 wierszach</w:t>
      </w:r>
      <w:r w:rsidR="0069385B" w:rsidRPr="00D67E82">
        <w:rPr>
          <w:rFonts w:asciiTheme="minorHAnsi" w:hAnsiTheme="minorHAnsi" w:cstheme="minorHAnsi"/>
          <w:sz w:val="22"/>
          <w:szCs w:val="22"/>
        </w:rPr>
        <w:t>),</w:t>
      </w:r>
    </w:p>
    <w:p w14:paraId="2A56119C" w14:textId="7A4BC6EA"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4834DC">
        <w:rPr>
          <w:rFonts w:asciiTheme="minorHAnsi" w:hAnsiTheme="minorHAnsi" w:cstheme="minorHAnsi"/>
          <w:sz w:val="22"/>
          <w:szCs w:val="22"/>
        </w:rPr>
        <w:t>strony</w:t>
      </w:r>
      <w:r w:rsidR="004834DC" w:rsidRPr="00D67E82">
        <w:rPr>
          <w:rFonts w:asciiTheme="minorHAnsi" w:hAnsiTheme="minorHAnsi" w:cstheme="minorHAnsi"/>
          <w:sz w:val="22"/>
          <w:szCs w:val="22"/>
        </w:rPr>
        <w:t xml:space="preserve"> </w:t>
      </w:r>
      <w:hyperlink r:id="rId19"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0A8FB10A">
            <wp:extent cx="4379569" cy="2190750"/>
            <wp:effectExtent l="0" t="0" r="2540" b="0"/>
            <wp:docPr id="4" name="Obraz 4" descr="Tablica FEP wzór z flagą Fundusze Europejskie i flagą Unii Europejskiej oraz logo Urzędu Marszałkowskiego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Tablica FEP wzór z flagą Fundusze Europejskie i flagą Unii Europejskiej oraz logo Urzędu Marszałkowskiego Województwa Pomorskie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46B707C0"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2743F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0B9F69F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w:t>
      </w:r>
      <w:r w:rsidR="00591BBB">
        <w:rPr>
          <w:rFonts w:asciiTheme="minorHAnsi" w:hAnsiTheme="minorHAnsi" w:cstheme="minorHAnsi"/>
          <w:sz w:val="22"/>
          <w:szCs w:val="22"/>
        </w:rPr>
        <w:t xml:space="preserve"> </w:t>
      </w:r>
      <w:r w:rsidR="002A3EF4" w:rsidRPr="002A3EF4">
        <w:rPr>
          <w:rFonts w:asciiTheme="minorHAnsi" w:hAnsiTheme="minorHAnsi" w:cstheme="minorHAnsi"/>
          <w:sz w:val="22"/>
          <w:szCs w:val="22"/>
        </w:rPr>
        <w:t>tablicę umieść np. na budynku siedziby lub przed budynkiem, gdzie zostanie zainstalowany sprzęt, czyli w miejscu realizacji projektu</w:t>
      </w:r>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469B9BB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2A3EF4">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2A3EF4">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6B34C5BC"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6292ABE4" w14:textId="7C481796" w:rsidR="002A3EF4" w:rsidRPr="00F15585" w:rsidRDefault="002A3EF4" w:rsidP="008B646D">
      <w:pPr>
        <w:spacing w:line="276" w:lineRule="auto"/>
        <w:ind w:right="248"/>
        <w:jc w:val="both"/>
        <w:rPr>
          <w:rFonts w:asciiTheme="minorHAnsi" w:hAnsiTheme="minorHAnsi" w:cstheme="minorHAnsi"/>
          <w:sz w:val="22"/>
          <w:szCs w:val="22"/>
        </w:rPr>
      </w:pPr>
      <w:r w:rsidRPr="002A3EF4">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4F401B64"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r w:rsidR="002A3EF4">
        <w:rPr>
          <w:rFonts w:asciiTheme="minorHAnsi" w:hAnsiTheme="minorHAnsi" w:cstheme="minorHAnsi"/>
          <w:sz w:val="22"/>
          <w:szCs w:val="22"/>
        </w:rPr>
        <w:t xml:space="preserve"> lub skrócony tytuł projektu,</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D676673"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2A3EF4">
        <w:rPr>
          <w:rFonts w:asciiTheme="minorHAnsi" w:hAnsiTheme="minorHAnsi" w:cstheme="minorHAnsi"/>
          <w:sz w:val="22"/>
          <w:szCs w:val="22"/>
        </w:rPr>
        <w:t>strony</w:t>
      </w:r>
      <w:r w:rsidRPr="00D67E82">
        <w:rPr>
          <w:rFonts w:asciiTheme="minorHAnsi" w:hAnsiTheme="minorHAnsi" w:cstheme="minorHAnsi"/>
          <w:sz w:val="22"/>
          <w:szCs w:val="22"/>
        </w:rPr>
        <w:t xml:space="preserve">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4E74CDE">
            <wp:extent cx="4429125" cy="3132903"/>
            <wp:effectExtent l="0" t="0" r="0" b="0"/>
            <wp:docPr id="2" name="Obraz 2" descr="Plakat FEP wzór z flagą Fundusze Europejskie i flagą Unii Europejskiej oraz logo Urzędu Marszałkowskiego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lakat FEP wzór z flagą Fundusze Europejskie i flagą Unii Europejskiej oraz logo Urzędu Marszałkowskiego Województwa Pomorskie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lastRenderedPageBreak/>
        <w:t>Gdzie umieścić plakat?</w:t>
      </w:r>
      <w:bookmarkEnd w:id="103"/>
      <w:bookmarkEnd w:id="104"/>
      <w:bookmarkEnd w:id="105"/>
      <w:bookmarkEnd w:id="106"/>
      <w:bookmarkEnd w:id="107"/>
      <w:bookmarkEnd w:id="108"/>
      <w:bookmarkEnd w:id="109"/>
    </w:p>
    <w:p w14:paraId="278C6EC3" w14:textId="1EC789E5"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A3EF4">
        <w:rPr>
          <w:rStyle w:val="Odwoanieprzypisudolnego"/>
          <w:rFonts w:asciiTheme="minorHAnsi" w:hAnsiTheme="minorHAnsi" w:cstheme="minorHAnsi"/>
          <w:sz w:val="22"/>
          <w:szCs w:val="22"/>
        </w:rPr>
        <w:footnoteReference w:id="39"/>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0ADCC32D" wp14:editId="0BAAFE44">
            <wp:extent cx="4432300" cy="2390140"/>
            <wp:effectExtent l="0" t="0" r="6350" b="0"/>
            <wp:docPr id="8" name="Obraz 8" descr="Wzór naklejki FEP zakup współ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Wzór naklejki FEP zakup współfinansowany z logotypami, FEP, RP oraz dofinansowano przez 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1A7BBC5F">
            <wp:extent cx="4420235" cy="2402205"/>
            <wp:effectExtent l="0" t="0" r="0" b="0"/>
            <wp:docPr id="9" name="Obraz 9" descr="Wzór naklejki FEP zakup 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Wzór naklejki FEP zakup finansowany z logotypami, FEP, RP oraz dofinansowano przez U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256F3D05"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r w:rsidR="002A3EF4">
        <w:rPr>
          <w:rFonts w:asciiTheme="minorHAnsi" w:hAnsiTheme="minorHAnsi" w:cstheme="minorHAnsi"/>
          <w:sz w:val="22"/>
          <w:szCs w:val="22"/>
        </w:rPr>
        <w:t>tablety, drukarki),</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lastRenderedPageBreak/>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31692A7C" w:rsidR="0069385B"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8F9E88" w14:textId="681DA0A4" w:rsidR="002A3EF4" w:rsidRPr="002A3EF4" w:rsidRDefault="002A3EF4" w:rsidP="002A3EF4">
      <w:pPr>
        <w:pStyle w:val="Akapitzlist"/>
        <w:numPr>
          <w:ilvl w:val="0"/>
          <w:numId w:val="54"/>
        </w:numPr>
        <w:rPr>
          <w:rFonts w:asciiTheme="minorHAnsi" w:hAnsiTheme="minorHAnsi" w:cstheme="minorHAnsi"/>
          <w:sz w:val="22"/>
          <w:szCs w:val="22"/>
        </w:rPr>
      </w:pPr>
      <w:r w:rsidRPr="002A3EF4">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E2B5970" w14:textId="77777777" w:rsidR="002A3EF4" w:rsidRDefault="0069385B" w:rsidP="002A3EF4">
      <w:pPr>
        <w:tabs>
          <w:tab w:val="left" w:pos="6925"/>
        </w:tabs>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Jest to minimalny zakres informacji, obowiązkowy dla każdego projektu.</w:t>
      </w:r>
    </w:p>
    <w:p w14:paraId="156D9001"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273A39BA"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p>
    <w:p w14:paraId="1C238BCB" w14:textId="4A29485B" w:rsidR="0069385B" w:rsidRPr="00F15585"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lastRenderedPageBreak/>
        <w:t xml:space="preserve">Jeżeli nie posiadasz takiego profilu, musisz go założyć.  </w:t>
      </w:r>
    </w:p>
    <w:p w14:paraId="1AB6BD78" w14:textId="38418508"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2A3EF4">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 xml:space="preserve">hasztag: #FunduszeUE lub #FunduszeEuropejskie w przypadku wszelkich informacji o </w:t>
      </w:r>
      <w:r w:rsidR="002A3EF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2A3EF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21532E9C" w14:textId="77777777" w:rsidR="002A3EF4" w:rsidRPr="00022E40" w:rsidRDefault="002A3EF4" w:rsidP="002A3EF4">
      <w:pPr>
        <w:rPr>
          <w:rFonts w:asciiTheme="minorHAnsi" w:hAnsiTheme="minorHAnsi" w:cstheme="minorHAnsi"/>
          <w:sz w:val="22"/>
          <w:szCs w:val="22"/>
        </w:rPr>
      </w:pPr>
      <w:hyperlink r:id="rId25" w:history="1">
        <w:r w:rsidRPr="00022E40">
          <w:rPr>
            <w:rStyle w:val="Hipercze"/>
            <w:rFonts w:asciiTheme="minorHAnsi" w:hAnsiTheme="minorHAnsi" w:cstheme="minorHAnsi"/>
            <w:sz w:val="22"/>
            <w:szCs w:val="22"/>
          </w:rPr>
          <w:t>www.funduszeeuropejskie.gov.pl</w:t>
        </w:r>
      </w:hyperlink>
      <w:r w:rsidRPr="00022E40">
        <w:rPr>
          <w:rFonts w:asciiTheme="minorHAnsi" w:hAnsiTheme="minorHAnsi" w:cstheme="minorHAnsi"/>
          <w:sz w:val="22"/>
          <w:szCs w:val="22"/>
        </w:rPr>
        <w:t xml:space="preserve"> </w:t>
      </w:r>
    </w:p>
    <w:p w14:paraId="34F58479" w14:textId="77777777" w:rsidR="002A3EF4" w:rsidRDefault="002A3EF4" w:rsidP="0069385B">
      <w:pPr>
        <w:spacing w:line="276" w:lineRule="auto"/>
        <w:ind w:right="248"/>
        <w:rPr>
          <w:rFonts w:asciiTheme="minorHAnsi" w:hAnsiTheme="minorHAnsi" w:cstheme="minorHAnsi"/>
          <w:sz w:val="22"/>
          <w:szCs w:val="22"/>
        </w:rPr>
      </w:pPr>
    </w:p>
    <w:p w14:paraId="669EB4B7" w14:textId="37B4FA5D"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34E5420"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2A3EF4">
        <w:rPr>
          <w:rFonts w:asciiTheme="minorHAnsi" w:hAnsiTheme="minorHAnsi" w:cstheme="minorHAnsi"/>
          <w:sz w:val="22"/>
          <w:szCs w:val="22"/>
        </w:rPr>
        <w:t xml:space="preserve"> </w:t>
      </w:r>
      <w:r w:rsidR="002A3EF4" w:rsidRPr="002A3EF4">
        <w:rPr>
          <w:rFonts w:asciiTheme="minorHAnsi" w:hAnsiTheme="minorHAnsi" w:cstheme="minorHAnsi"/>
          <w:sz w:val="22"/>
          <w:szCs w:val="22"/>
        </w:rPr>
        <w:t xml:space="preserve">https://funduszeuepomorskie.pl/.  </w:t>
      </w:r>
      <w:r w:rsidRPr="00F15585">
        <w:rPr>
          <w:rFonts w:asciiTheme="minorHAnsi" w:hAnsiTheme="minorHAnsi" w:cstheme="minorHAnsi"/>
          <w:sz w:val="22"/>
          <w:szCs w:val="22"/>
        </w:rPr>
        <w:t xml:space="preserve">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5230B5FA"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r w:rsidR="002A3EF4">
        <w:rPr>
          <w:rFonts w:ascii="Calibri" w:hAnsi="Calibri"/>
          <w:sz w:val="22"/>
          <w:szCs w:val="22"/>
        </w:rPr>
        <w:t>.</w:t>
      </w:r>
      <w:r w:rsidR="002A3EF4" w:rsidRPr="002A3EF4">
        <w:t xml:space="preserve"> </w:t>
      </w:r>
      <w:r w:rsidR="002A3EF4" w:rsidRPr="002A3EF4">
        <w:rPr>
          <w:rFonts w:ascii="Calibri" w:hAnsi="Calibri"/>
          <w:sz w:val="22"/>
          <w:szCs w:val="22"/>
        </w:rPr>
        <w:t>W przypadku podpisania aneksu należy dodać zapis: „ze zmianami”;</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567C3FDD"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2A3EF4">
        <w:rPr>
          <w:rFonts w:ascii="Calibri" w:hAnsi="Calibri"/>
          <w:sz w:val="22"/>
          <w:szCs w:val="22"/>
        </w:rPr>
        <w:t xml:space="preserve"> </w:t>
      </w:r>
      <w:bookmarkStart w:id="155" w:name="_Hlk195531913"/>
      <w:r w:rsidR="002A3EF4" w:rsidRPr="00092759">
        <w:rPr>
          <w:rFonts w:ascii="Calibri" w:hAnsi="Calibri"/>
          <w:sz w:val="22"/>
          <w:szCs w:val="22"/>
        </w:rPr>
        <w:t>potwierdzoną podpisem osoby upoważnionej</w:t>
      </w:r>
      <w:bookmarkEnd w:id="155"/>
      <w:r w:rsidRPr="005D35F1">
        <w:rPr>
          <w:rFonts w:ascii="Calibri" w:hAnsi="Calibri"/>
          <w:sz w:val="22"/>
          <w:szCs w:val="22"/>
        </w:rPr>
        <w:t>;</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1F81E376" w:rsidR="0069385B" w:rsidRDefault="002A3EF4"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 xml:space="preserve">informację o </w:t>
      </w:r>
      <w:r w:rsidR="0069385B" w:rsidRPr="005D35F1">
        <w:rPr>
          <w:rFonts w:ascii="Calibri" w:hAnsi="Calibri"/>
          <w:sz w:val="22"/>
          <w:szCs w:val="22"/>
        </w:rPr>
        <w:t>rodzaju wydatku (bieżący/inwestycyjny);</w:t>
      </w:r>
    </w:p>
    <w:p w14:paraId="0FDA6D5C" w14:textId="0466C0FE" w:rsidR="002A3EF4" w:rsidRPr="002A3EF4" w:rsidRDefault="002A3EF4" w:rsidP="002A3EF4">
      <w:pPr>
        <w:pStyle w:val="Akapitzlist"/>
        <w:numPr>
          <w:ilvl w:val="0"/>
          <w:numId w:val="56"/>
        </w:numPr>
        <w:jc w:val="both"/>
        <w:rPr>
          <w:rFonts w:ascii="Calibri" w:hAnsi="Calibri"/>
          <w:sz w:val="22"/>
          <w:szCs w:val="22"/>
        </w:rPr>
      </w:pPr>
      <w:r w:rsidRPr="002A3EF4">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p>
    <w:p w14:paraId="3AB1110F" w14:textId="25074B68"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(np.</w:t>
      </w:r>
      <w:r w:rsidR="002A3EF4">
        <w:rPr>
          <w:rFonts w:ascii="Calibri" w:hAnsi="Calibri"/>
          <w:sz w:val="22"/>
          <w:szCs w:val="22"/>
        </w:rPr>
        <w:t>cross-finansing, wydatki na zakup nieruchomości, wydatki na dostępność</w:t>
      </w:r>
      <w:r w:rsidRPr="005D35F1">
        <w:rPr>
          <w:rFonts w:ascii="Calibri" w:hAnsi="Calibri"/>
          <w:sz w:val="22"/>
          <w:szCs w:val="22"/>
        </w:rPr>
        <w:t xml:space="preserve">) oraz nazwę </w:t>
      </w:r>
      <w:r>
        <w:rPr>
          <w:rFonts w:ascii="Calibri" w:hAnsi="Calibri"/>
          <w:sz w:val="22"/>
          <w:szCs w:val="22"/>
        </w:rPr>
        <w:t>zadania</w:t>
      </w:r>
      <w:r w:rsidR="006F4E2C">
        <w:rPr>
          <w:rStyle w:val="Odwoanieprzypisudolnego"/>
          <w:rFonts w:ascii="Calibri" w:hAnsi="Calibri"/>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6"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6"/>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42"/>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43"/>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00B45D34">
        <w:rPr>
          <w:rStyle w:val="Odwoanieprzypisudolnego"/>
          <w:rFonts w:asciiTheme="minorHAnsi" w:hAnsiTheme="minorHAnsi" w:cstheme="minorHAnsi"/>
          <w:bCs/>
          <w:sz w:val="22"/>
          <w:szCs w:val="22"/>
        </w:rPr>
        <w:footnoteReference w:id="44"/>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45"/>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7" w:name="_Hlk125024561"/>
            <w:r w:rsidRPr="00ED610B">
              <w:rPr>
                <w:rFonts w:ascii="Calibri" w:hAnsi="Calibri" w:cs="Calibri"/>
                <w:sz w:val="22"/>
                <w:szCs w:val="22"/>
              </w:rPr>
              <w:t>w tym przekazanie zaproszeń co najmniej</w:t>
            </w:r>
            <w:bookmarkEnd w:id="157"/>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8"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bookmarkEnd w:id="158"/>
    <w:p w14:paraId="42563B41" w14:textId="68EDBE4A"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46"/>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38F02" w14:textId="77777777" w:rsidR="00592970" w:rsidRDefault="00592970">
      <w:r>
        <w:separator/>
      </w:r>
    </w:p>
  </w:endnote>
  <w:endnote w:type="continuationSeparator" w:id="0">
    <w:p w14:paraId="0AFA0B1B" w14:textId="77777777" w:rsidR="00592970" w:rsidRDefault="0059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1B6A" w14:textId="693DD8DE"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A1A20">
      <w:rPr>
        <w:rFonts w:ascii="Calibri" w:hAnsi="Calibri"/>
        <w:b/>
        <w:bCs/>
        <w:i/>
        <w:noProof/>
        <w:sz w:val="22"/>
      </w:rPr>
      <w:t>8</w:t>
    </w:r>
    <w:r>
      <w:rPr>
        <w:rFonts w:ascii="Calibri" w:hAnsi="Calibri"/>
        <w:b/>
        <w:bCs/>
        <w:i/>
        <w:sz w:val="22"/>
      </w:rPr>
      <w:fldChar w:fldCharType="end"/>
    </w:r>
  </w:p>
  <w:p w14:paraId="771BB24E" w14:textId="77777777" w:rsidR="00845FBE" w:rsidRDefault="00845F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F333" w14:textId="77777777" w:rsidR="00845FBE" w:rsidRDefault="00845FBE"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845FBE" w:rsidRDefault="00845FBE" w:rsidP="00EA694E">
    <w:pPr>
      <w:pStyle w:val="Stopka"/>
      <w:jc w:val="center"/>
      <w:rPr>
        <w:rFonts w:ascii="Calibri" w:hAnsi="Calibri"/>
        <w:i/>
        <w:sz w:val="22"/>
      </w:rPr>
    </w:pPr>
  </w:p>
  <w:p w14:paraId="5472AEBB" w14:textId="7763B2E6"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A1A20">
      <w:rPr>
        <w:rFonts w:ascii="Calibri" w:hAnsi="Calibri"/>
        <w:b/>
        <w:bCs/>
        <w:i/>
        <w:noProof/>
        <w:sz w:val="22"/>
      </w:rPr>
      <w:t>5</w:t>
    </w:r>
    <w:r>
      <w:rPr>
        <w:rFonts w:ascii="Calibri" w:hAnsi="Calibri"/>
        <w:b/>
        <w:bCs/>
        <w:i/>
        <w:sz w:val="22"/>
      </w:rPr>
      <w:fldChar w:fldCharType="end"/>
    </w:r>
  </w:p>
  <w:p w14:paraId="4EA62D26" w14:textId="77777777" w:rsidR="00845FBE" w:rsidRDefault="00845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9C92" w14:textId="77777777" w:rsidR="00592970" w:rsidRDefault="00592970">
      <w:r>
        <w:separator/>
      </w:r>
    </w:p>
  </w:footnote>
  <w:footnote w:type="continuationSeparator" w:id="0">
    <w:p w14:paraId="52897EA3" w14:textId="77777777" w:rsidR="00592970" w:rsidRDefault="00592970">
      <w:r>
        <w:continuationSeparator/>
      </w:r>
    </w:p>
  </w:footnote>
  <w:footnote w:id="1">
    <w:p w14:paraId="3BEFE3FD" w14:textId="252915F1" w:rsidR="00845FBE" w:rsidRDefault="00845FBE">
      <w:pPr>
        <w:pStyle w:val="Tekstprzypisudolnego"/>
      </w:pPr>
      <w:r>
        <w:rPr>
          <w:rStyle w:val="Odwoanieprzypisudolnego"/>
        </w:rPr>
        <w:footnoteRef/>
      </w:r>
      <w:r>
        <w:t xml:space="preserve"> </w:t>
      </w:r>
      <w:r w:rsidRPr="00845FBE">
        <w:t>Podstawowy wzór umowy o dofinansowanie dla projektów współfinansowanych z EFRR, który może podlegać zmianom w związku z dostosowywaniem do kolejnych wytycznych wydawanych na podstawie art. 5 ust. 1 Ustawy wdrożeniowej i aktów prawnych wydawanych przez Komisję Europejską. Przewiduje się opracowywanie wariantów wzoru umowy dla specyficznych kategorii projektów.</w:t>
      </w:r>
    </w:p>
  </w:footnote>
  <w:footnote w:id="2">
    <w:p w14:paraId="4CCA9F1D" w14:textId="3D66FD5E" w:rsidR="00845FBE" w:rsidRDefault="00845FBE">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3">
    <w:p w14:paraId="3FE87AFA" w14:textId="177FCEC2" w:rsidR="00845FBE" w:rsidRDefault="00845FBE">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93936CC" w14:textId="200774E5" w:rsidR="00845FBE" w:rsidRDefault="00845FBE">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5">
    <w:p w14:paraId="54C8D84A" w14:textId="59F2BCD1" w:rsidR="00845FBE" w:rsidRDefault="00845FBE">
      <w:pPr>
        <w:pStyle w:val="Tekstprzypisudolnego"/>
      </w:pPr>
      <w:r>
        <w:rPr>
          <w:rStyle w:val="Odwoanieprzypisudolnego"/>
        </w:rPr>
        <w:footnoteRef/>
      </w:r>
      <w:r>
        <w:t xml:space="preserve"> </w:t>
      </w:r>
      <w:r w:rsidRPr="00DD119B">
        <w:t>Dotyczy projektów, w których występuje pomoc publiczna lub pomoc de minimis.</w:t>
      </w:r>
    </w:p>
  </w:footnote>
  <w:footnote w:id="6">
    <w:p w14:paraId="63A2215B" w14:textId="3956FD84" w:rsidR="00845FBE" w:rsidRDefault="00845FBE">
      <w:pPr>
        <w:pStyle w:val="Tekstprzypisudolnego"/>
      </w:pPr>
      <w:r>
        <w:rPr>
          <w:rStyle w:val="Odwoanieprzypisudolnego"/>
        </w:rPr>
        <w:footnoteRef/>
      </w:r>
      <w:r>
        <w:t xml:space="preserve"> </w:t>
      </w:r>
      <w:r w:rsidRPr="00DD119B">
        <w:t>Dz. Urz. UE C 262 z 19.07.2016 r., s. 1.</w:t>
      </w:r>
    </w:p>
  </w:footnote>
  <w:footnote w:id="7">
    <w:p w14:paraId="3D684977" w14:textId="67012873" w:rsidR="00845FBE" w:rsidRDefault="00845FBE">
      <w:pPr>
        <w:pStyle w:val="Tekstprzypisudolnego"/>
      </w:pPr>
      <w:r>
        <w:rPr>
          <w:rStyle w:val="Odwoanieprzypisudolnego"/>
        </w:rPr>
        <w:footnoteRef/>
      </w:r>
      <w:r>
        <w:t xml:space="preserve"> </w:t>
      </w:r>
      <w:r w:rsidRPr="00845FBE">
        <w:t>W przypadku zawierania umowy w formie określonej w art. 781 § 1 i 2 Ustawy z dnia 23 kwietnia 1964 r.  - Kodeks cywilny zastąpić wyrażeniem „w formie elektronicznej”.</w:t>
      </w:r>
    </w:p>
  </w:footnote>
  <w:footnote w:id="8">
    <w:p w14:paraId="3622DAE2" w14:textId="0174A53B" w:rsidR="00845FBE" w:rsidRDefault="00845FBE">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9">
    <w:p w14:paraId="6E437440" w14:textId="54337361" w:rsidR="00845FBE" w:rsidRDefault="00845FBE">
      <w:pPr>
        <w:pStyle w:val="Tekstprzypisudolnego"/>
      </w:pPr>
      <w:r>
        <w:rPr>
          <w:rStyle w:val="Odwoanieprzypisudolnego"/>
        </w:rPr>
        <w:footnoteRef/>
      </w:r>
      <w:r>
        <w:t xml:space="preserve"> </w:t>
      </w:r>
      <w:r w:rsidRPr="00DD119B">
        <w:t>Dz. Urz. UE L 231 z 30.06.2021 r., s. 159, z późn. zm.</w:t>
      </w:r>
    </w:p>
  </w:footnote>
  <w:footnote w:id="10">
    <w:p w14:paraId="7596AE9A" w14:textId="6F1BD8AF" w:rsidR="00845FBE" w:rsidRDefault="00845FBE">
      <w:pPr>
        <w:pStyle w:val="Tekstprzypisudolnego"/>
      </w:pPr>
      <w:r>
        <w:rPr>
          <w:rStyle w:val="Odwoanieprzypisudolnego"/>
        </w:rPr>
        <w:footnoteRef/>
      </w:r>
      <w:r>
        <w:t xml:space="preserve"> </w:t>
      </w:r>
      <w:r w:rsidRPr="00DD119B">
        <w:t>Dz. Urz. UE L 231 z 30.06.2021 r., s. 60</w:t>
      </w:r>
      <w:r>
        <w:t>, z późn. zm.</w:t>
      </w:r>
    </w:p>
  </w:footnote>
  <w:footnote w:id="11">
    <w:p w14:paraId="5FF82EF1" w14:textId="52EA1907" w:rsidR="00845FBE" w:rsidRDefault="00845FBE">
      <w:pPr>
        <w:pStyle w:val="Tekstprzypisudolnego"/>
      </w:pPr>
      <w:r>
        <w:rPr>
          <w:rStyle w:val="Odwoanieprzypisudolnego"/>
        </w:rPr>
        <w:footnoteRef/>
      </w:r>
      <w:r>
        <w:t xml:space="preserve"> </w:t>
      </w:r>
      <w:r w:rsidRPr="00864880">
        <w:t>Dz. Urz. UE L z 26.09.2024 r.</w:t>
      </w:r>
    </w:p>
  </w:footnote>
  <w:footnote w:id="12">
    <w:p w14:paraId="2FB55EB8" w14:textId="62978574" w:rsidR="00845FBE" w:rsidRDefault="00845FBE">
      <w:pPr>
        <w:pStyle w:val="Tekstprzypisudolnego"/>
      </w:pPr>
      <w:r>
        <w:rPr>
          <w:rStyle w:val="Odwoanieprzypisudolnego"/>
        </w:rPr>
        <w:footnoteRef/>
      </w:r>
      <w:r>
        <w:t xml:space="preserve"> </w:t>
      </w:r>
      <w:r w:rsidRPr="00DD119B">
        <w:t>Dz. Urz. UE L 198 z 22.06.2020 r., s. 13.</w:t>
      </w:r>
    </w:p>
  </w:footnote>
  <w:footnote w:id="13">
    <w:p w14:paraId="6243D15A" w14:textId="08EF42CF" w:rsidR="00845FBE" w:rsidRDefault="00845FBE">
      <w:pPr>
        <w:pStyle w:val="Tekstprzypisudolnego"/>
      </w:pPr>
      <w:r>
        <w:rPr>
          <w:rStyle w:val="Odwoanieprzypisudolnego"/>
        </w:rPr>
        <w:footnoteRef/>
      </w:r>
      <w:r>
        <w:t xml:space="preserve"> </w:t>
      </w:r>
      <w:r w:rsidRPr="00DD119B">
        <w:t>Dz. Urz. UE L 187 z 26.06.2014 r., s. 1, z późn. zm.</w:t>
      </w:r>
    </w:p>
  </w:footnote>
  <w:footnote w:id="14">
    <w:p w14:paraId="5C38F97C" w14:textId="2DA98B08" w:rsidR="00845FBE" w:rsidRDefault="00845FBE">
      <w:pPr>
        <w:pStyle w:val="Tekstprzypisudolnego"/>
      </w:pPr>
      <w:r>
        <w:rPr>
          <w:rStyle w:val="Odwoanieprzypisudolnego"/>
        </w:rPr>
        <w:footnoteRef/>
      </w:r>
      <w:r>
        <w:t xml:space="preserve"> </w:t>
      </w:r>
      <w:r w:rsidRPr="00DD119B">
        <w:t>Dz. Urz. UE L z 15.12.2023r. poz.2831.</w:t>
      </w:r>
    </w:p>
  </w:footnote>
  <w:footnote w:id="15">
    <w:p w14:paraId="5D2B2E6E" w14:textId="76627899" w:rsidR="00845FBE" w:rsidRDefault="00845FBE">
      <w:pPr>
        <w:pStyle w:val="Tekstprzypisudolnego"/>
      </w:pPr>
      <w:r>
        <w:rPr>
          <w:rStyle w:val="Odwoanieprzypisudolnego"/>
        </w:rPr>
        <w:footnoteRef/>
      </w:r>
      <w:r>
        <w:t xml:space="preserve"> </w:t>
      </w:r>
      <w:r w:rsidRPr="00DD119B">
        <w:t>Dz. Urz. UE L z 15.12.2023r. poz.2832.</w:t>
      </w:r>
    </w:p>
  </w:footnote>
  <w:footnote w:id="16">
    <w:p w14:paraId="6B9B8143" w14:textId="78A279D1" w:rsidR="00845FBE" w:rsidRDefault="00845FBE">
      <w:pPr>
        <w:pStyle w:val="Tekstprzypisudolnego"/>
      </w:pPr>
      <w:r>
        <w:rPr>
          <w:rStyle w:val="Odwoanieprzypisudolnego"/>
        </w:rPr>
        <w:footnoteRef/>
      </w:r>
      <w:r>
        <w:t xml:space="preserve"> </w:t>
      </w:r>
      <w:r w:rsidRPr="00DD119B">
        <w:t>Dz. U. z 2015 r., poz. 358</w:t>
      </w:r>
      <w:r>
        <w:t>, z późn. zm.</w:t>
      </w:r>
    </w:p>
  </w:footnote>
  <w:footnote w:id="17">
    <w:p w14:paraId="25B748C0" w14:textId="6F7ABDCF" w:rsidR="00845FBE" w:rsidRDefault="00845FBE">
      <w:pPr>
        <w:pStyle w:val="Tekstprzypisudolnego"/>
      </w:pPr>
      <w:r>
        <w:rPr>
          <w:rStyle w:val="Odwoanieprzypisudolnego"/>
        </w:rPr>
        <w:footnoteRef/>
      </w:r>
      <w:r>
        <w:t xml:space="preserve"> </w:t>
      </w:r>
      <w:r w:rsidRPr="00DD119B">
        <w:t>Dz. U. z 2022 r. poz. 1079</w:t>
      </w:r>
      <w:r w:rsidR="000B473D">
        <w:t>, z póżn. zm.</w:t>
      </w:r>
    </w:p>
  </w:footnote>
  <w:footnote w:id="18">
    <w:p w14:paraId="76946031" w14:textId="31DE0D59" w:rsidR="00845FBE" w:rsidRDefault="00845FBE">
      <w:pPr>
        <w:pStyle w:val="Tekstprzypisudolnego"/>
      </w:pPr>
      <w:r>
        <w:rPr>
          <w:rStyle w:val="Odwoanieprzypisudolnego"/>
        </w:rPr>
        <w:footnoteRef/>
      </w:r>
      <w:r>
        <w:t xml:space="preserve"> </w:t>
      </w:r>
      <w:r w:rsidRPr="00DD119B">
        <w:t>Dz. U. z 2023 r. poz. 1270, z późn. zm.</w:t>
      </w:r>
    </w:p>
  </w:footnote>
  <w:footnote w:id="19">
    <w:p w14:paraId="5FA0F418" w14:textId="1AFC6B3E" w:rsidR="00845FBE" w:rsidRDefault="00845FBE">
      <w:pPr>
        <w:pStyle w:val="Tekstprzypisudolnego"/>
      </w:pPr>
      <w:r>
        <w:rPr>
          <w:rStyle w:val="Odwoanieprzypisudolnego"/>
        </w:rPr>
        <w:footnoteRef/>
      </w:r>
      <w:r>
        <w:t xml:space="preserve"> </w:t>
      </w:r>
      <w:r w:rsidRPr="00DD119B">
        <w:t>Dz. U. z 2023 r. poz. 702, z późn. zm.</w:t>
      </w:r>
    </w:p>
  </w:footnote>
  <w:footnote w:id="20">
    <w:p w14:paraId="1292F4D7" w14:textId="1294737B" w:rsidR="00845FBE" w:rsidRDefault="00845FBE">
      <w:pPr>
        <w:pStyle w:val="Tekstprzypisudolnego"/>
      </w:pPr>
      <w:r>
        <w:rPr>
          <w:rStyle w:val="Odwoanieprzypisudolnego"/>
        </w:rPr>
        <w:footnoteRef/>
      </w:r>
      <w:r>
        <w:t xml:space="preserve"> </w:t>
      </w:r>
      <w:r w:rsidRPr="00DD119B">
        <w:t>Dz. U. z 2023 r. poz. 120, z późn. zm.</w:t>
      </w:r>
    </w:p>
  </w:footnote>
  <w:footnote w:id="21">
    <w:p w14:paraId="32D4E50A" w14:textId="375DA6A3" w:rsidR="00845FBE" w:rsidRPr="00591BBB" w:rsidRDefault="00845FBE">
      <w:pPr>
        <w:pStyle w:val="Tekstprzypisudolnego"/>
      </w:pPr>
      <w:r>
        <w:rPr>
          <w:rStyle w:val="Odwoanieprzypisudolnego"/>
        </w:rPr>
        <w:footnoteRef/>
      </w:r>
      <w:r>
        <w:t xml:space="preserve"> </w:t>
      </w:r>
      <w:r w:rsidRPr="00591BBB">
        <w:t xml:space="preserve">Dz. U. z 2023 r. poz. </w:t>
      </w:r>
      <w:r w:rsidR="000D36FF" w:rsidRPr="00591BBB">
        <w:t>1320</w:t>
      </w:r>
      <w:r w:rsidRPr="00591BBB">
        <w:t>,</w:t>
      </w:r>
      <w:r w:rsidR="000D36FF" w:rsidRPr="00591BBB">
        <w:t xml:space="preserve"> Tj.</w:t>
      </w:r>
      <w:r w:rsidRPr="00591BBB">
        <w:t xml:space="preserve"> z późn. zm.</w:t>
      </w:r>
    </w:p>
  </w:footnote>
  <w:footnote w:id="22">
    <w:p w14:paraId="6001906E" w14:textId="13984C6E" w:rsidR="00845FBE" w:rsidRPr="00591BBB" w:rsidRDefault="00845FBE">
      <w:pPr>
        <w:pStyle w:val="Tekstprzypisudolnego"/>
      </w:pPr>
      <w:r w:rsidRPr="00591BBB">
        <w:rPr>
          <w:rStyle w:val="Odwoanieprzypisudolnego"/>
        </w:rPr>
        <w:footnoteRef/>
      </w:r>
      <w:r w:rsidRPr="00591BBB">
        <w:t xml:space="preserve"> Dz. U. z 2023 r. poz. 221</w:t>
      </w:r>
      <w:r w:rsidR="000B473D" w:rsidRPr="00591BBB">
        <w:t>, z póżn. zm.</w:t>
      </w:r>
    </w:p>
  </w:footnote>
  <w:footnote w:id="23">
    <w:p w14:paraId="4250FA93" w14:textId="128C0701" w:rsidR="00845FBE" w:rsidRDefault="00845FBE">
      <w:pPr>
        <w:pStyle w:val="Tekstprzypisudolnego"/>
      </w:pPr>
      <w:r w:rsidRPr="00591BBB">
        <w:rPr>
          <w:rStyle w:val="Odwoanieprzypisudolnego"/>
        </w:rPr>
        <w:footnoteRef/>
      </w:r>
      <w:r w:rsidRPr="00591BBB">
        <w:t xml:space="preserve"> Dz. U. z 2022 r. poz. 2055.</w:t>
      </w:r>
    </w:p>
  </w:footnote>
  <w:footnote w:id="24">
    <w:p w14:paraId="736864AC" w14:textId="3FA39F75" w:rsidR="00845FBE" w:rsidRDefault="00845FBE">
      <w:pPr>
        <w:pStyle w:val="Tekstprzypisudolnego"/>
      </w:pPr>
      <w:r>
        <w:rPr>
          <w:rStyle w:val="Odwoanieprzypisudolnego"/>
        </w:rPr>
        <w:footnoteRef/>
      </w:r>
      <w:r>
        <w:t xml:space="preserve"> </w:t>
      </w:r>
      <w:r w:rsidRPr="00DD119B">
        <w:t>Dz. U. z 2021 r. poz. 953, z późn. zm.</w:t>
      </w:r>
    </w:p>
  </w:footnote>
  <w:footnote w:id="25">
    <w:p w14:paraId="5A44352A" w14:textId="380B864E" w:rsidR="00845FBE" w:rsidRDefault="00845FBE">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6">
    <w:p w14:paraId="1E4B18BC" w14:textId="0E134753" w:rsidR="00845FBE" w:rsidRDefault="00845FBE">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7">
    <w:p w14:paraId="47F8EFC6" w14:textId="0110266A" w:rsidR="00845FBE" w:rsidRDefault="00845FBE">
      <w:pPr>
        <w:pStyle w:val="Tekstprzypisudolnego"/>
      </w:pPr>
      <w:r>
        <w:rPr>
          <w:rStyle w:val="Odwoanieprzypisudolnego"/>
        </w:rPr>
        <w:footnoteRef/>
      </w:r>
      <w:r>
        <w:t xml:space="preserve"> </w:t>
      </w:r>
      <w:r w:rsidRPr="00DD119B">
        <w:t>Nie dotyczy wydatków rozliczanych w sposób uproszczony.</w:t>
      </w:r>
    </w:p>
  </w:footnote>
  <w:footnote w:id="28">
    <w:p w14:paraId="3F6B6531" w14:textId="42D44D71" w:rsidR="000B473D" w:rsidRDefault="000B473D">
      <w:pPr>
        <w:pStyle w:val="Tekstprzypisudolnego"/>
      </w:pPr>
      <w:r>
        <w:rPr>
          <w:rStyle w:val="Odwoanieprzypisudolnego"/>
        </w:rPr>
        <w:footnoteRef/>
      </w:r>
      <w:r>
        <w:t xml:space="preserve"> </w:t>
      </w:r>
      <w:r w:rsidRPr="000B473D">
        <w:t>Kwota wynika z postanowień Wytycznych dot. kwalifikowalności wydatków z dnia 14 marca 2025 r., sygn.  MFiPR/2021–2027/9(2). W przypadku jej zmiany w kolejnych aktualizacjach ww. wytycznych, obowiązuje kwota wskazana w obowiązującej na dzień przygotowania danego Zamówienia wersji Wytycznych.</w:t>
      </w:r>
    </w:p>
  </w:footnote>
  <w:footnote w:id="29">
    <w:p w14:paraId="52B71F37" w14:textId="65E9D47B" w:rsidR="000B473D" w:rsidRDefault="000B473D">
      <w:pPr>
        <w:pStyle w:val="Tekstprzypisudolnego"/>
      </w:pPr>
      <w:r>
        <w:rPr>
          <w:rStyle w:val="Odwoanieprzypisudolnego"/>
        </w:rPr>
        <w:footnoteRef/>
      </w:r>
      <w:r>
        <w:t xml:space="preserve"> Jak wyżej</w:t>
      </w:r>
    </w:p>
  </w:footnote>
  <w:footnote w:id="30">
    <w:p w14:paraId="2736327B" w14:textId="237E352D" w:rsidR="00845FBE" w:rsidRDefault="00845FBE">
      <w:pPr>
        <w:pStyle w:val="Tekstprzypisudolnego"/>
      </w:pPr>
      <w:r>
        <w:rPr>
          <w:rStyle w:val="Odwoanieprzypisudolnego"/>
        </w:rPr>
        <w:footnoteRef/>
      </w:r>
      <w:r>
        <w:t xml:space="preserve"> </w:t>
      </w:r>
      <w:r w:rsidRPr="006F4E2C">
        <w:t>W przypadku współfinansowania Projektu ze środków budżetu państwa.</w:t>
      </w:r>
    </w:p>
  </w:footnote>
  <w:footnote w:id="31">
    <w:p w14:paraId="0873AAA0" w14:textId="1BD5F091" w:rsidR="00845FBE" w:rsidRDefault="00845FBE">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32">
    <w:p w14:paraId="44FDF4F2" w14:textId="02B34F04" w:rsidR="00845FBE" w:rsidRDefault="00845FBE">
      <w:pPr>
        <w:pStyle w:val="Tekstprzypisudolnego"/>
      </w:pPr>
      <w:r>
        <w:rPr>
          <w:rStyle w:val="Odwoanieprzypisudolnego"/>
        </w:rPr>
        <w:footnoteRef/>
      </w:r>
      <w:r>
        <w:t xml:space="preserve"> </w:t>
      </w:r>
      <w:r w:rsidRPr="006F4E2C">
        <w:t>Dz. U. z 2022 r. poz. 2509.</w:t>
      </w:r>
    </w:p>
  </w:footnote>
  <w:footnote w:id="33">
    <w:p w14:paraId="71D8D64D" w14:textId="7138AB6A" w:rsidR="00845FBE" w:rsidRDefault="00845FBE">
      <w:pPr>
        <w:pStyle w:val="Tekstprzypisudolnego"/>
      </w:pPr>
      <w:r>
        <w:rPr>
          <w:rStyle w:val="Odwoanieprzypisudolnego"/>
        </w:rPr>
        <w:footnoteRef/>
      </w:r>
      <w:r>
        <w:t xml:space="preserve"> </w:t>
      </w:r>
      <w:r w:rsidRPr="006F4E2C">
        <w:t>Zgodnie z art. 49 ust. 3 i 5 Rozporządzenia ogólnego.</w:t>
      </w:r>
    </w:p>
  </w:footnote>
  <w:footnote w:id="34">
    <w:p w14:paraId="68AFE4A4" w14:textId="3C2A1214" w:rsidR="00845FBE" w:rsidRDefault="00845FBE">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14:paraId="62880F17" w14:textId="3066501E" w:rsidR="00845FBE" w:rsidRDefault="00845FBE">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6">
    <w:p w14:paraId="2D6CF65D" w14:textId="6C1D212E" w:rsidR="004834DC" w:rsidRDefault="004834DC">
      <w:pPr>
        <w:pStyle w:val="Tekstprzypisudolnego"/>
      </w:pPr>
      <w:r>
        <w:rPr>
          <w:rStyle w:val="Odwoanieprzypisudolnego"/>
        </w:rPr>
        <w:footnoteRef/>
      </w:r>
      <w:r>
        <w:t xml:space="preserve"> </w:t>
      </w:r>
      <w:r w:rsidRPr="004834DC">
        <w:t>Która nie jest kontrolą, o której mowa w art. 24-25 Ustawy wdrożeniowej.</w:t>
      </w:r>
    </w:p>
  </w:footnote>
  <w:footnote w:id="37">
    <w:p w14:paraId="61307DBF" w14:textId="08E70711" w:rsidR="004834DC" w:rsidRDefault="004834DC">
      <w:pPr>
        <w:pStyle w:val="Tekstprzypisudolnego"/>
      </w:pPr>
      <w:r>
        <w:rPr>
          <w:rStyle w:val="Odwoanieprzypisudolnego"/>
        </w:rPr>
        <w:footnoteRef/>
      </w:r>
      <w:r>
        <w:t xml:space="preserve"> Jak wyżej</w:t>
      </w:r>
    </w:p>
  </w:footnote>
  <w:footnote w:id="38">
    <w:p w14:paraId="4453CB02" w14:textId="43B2AF45" w:rsidR="00845FBE" w:rsidRDefault="00845FBE">
      <w:pPr>
        <w:pStyle w:val="Tekstprzypisudolnego"/>
      </w:pPr>
      <w:r>
        <w:rPr>
          <w:rStyle w:val="Odwoanieprzypisudolnego"/>
        </w:rPr>
        <w:footnoteRef/>
      </w:r>
      <w:r>
        <w:t xml:space="preserve"> </w:t>
      </w:r>
      <w:r w:rsidRPr="006F4E2C">
        <w:t>Nie dotyczy tablic, plakatów, naklejek, których wzory nie mogą być zmieniane</w:t>
      </w:r>
    </w:p>
  </w:footnote>
  <w:footnote w:id="39">
    <w:p w14:paraId="6801D488" w14:textId="14E4A2C3" w:rsidR="002A3EF4" w:rsidRDefault="002A3EF4">
      <w:pPr>
        <w:pStyle w:val="Tekstprzypisudolnego"/>
      </w:pPr>
      <w:r>
        <w:rPr>
          <w:rStyle w:val="Odwoanieprzypisudolnego"/>
        </w:rPr>
        <w:footnoteRef/>
      </w:r>
      <w:r>
        <w:t xml:space="preserve"> </w:t>
      </w:r>
      <w:r w:rsidRPr="002A3EF4">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40">
    <w:p w14:paraId="6A11C6F2" w14:textId="6BEBF8F5" w:rsidR="00845FBE" w:rsidRDefault="00845FBE">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41">
    <w:p w14:paraId="54FF2CAD" w14:textId="17C12003" w:rsidR="00845FBE" w:rsidRDefault="00845FBE">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42">
    <w:p w14:paraId="45C3953A" w14:textId="61EC4A22" w:rsidR="00845FBE" w:rsidRDefault="00845FBE">
      <w:pPr>
        <w:pStyle w:val="Tekstprzypisudolnego"/>
      </w:pPr>
      <w:r>
        <w:rPr>
          <w:rStyle w:val="Odwoanieprzypisudolnego"/>
        </w:rPr>
        <w:footnoteRef/>
      </w:r>
      <w:r>
        <w:t xml:space="preserve"> </w:t>
      </w:r>
      <w:r w:rsidRPr="00B45D34">
        <w:t>Dz. Urz. UE C 262 z 19.07.2016 r., s. 1.</w:t>
      </w:r>
    </w:p>
  </w:footnote>
  <w:footnote w:id="43">
    <w:p w14:paraId="342978EA" w14:textId="6B25726D" w:rsidR="00845FBE" w:rsidRDefault="00845FBE">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44">
    <w:p w14:paraId="7DF1DED4" w14:textId="3CAAA48B" w:rsidR="00845FBE" w:rsidRDefault="00845FBE">
      <w:pPr>
        <w:pStyle w:val="Tekstprzypisudolnego"/>
      </w:pPr>
      <w:r>
        <w:rPr>
          <w:rStyle w:val="Odwoanieprzypisudolnego"/>
        </w:rPr>
        <w:footnoteRef/>
      </w:r>
      <w:r>
        <w:t xml:space="preserve"> </w:t>
      </w:r>
      <w:r w:rsidRPr="00B45D34">
        <w:t>Dz. Urz. UE L 140 z 30.04.2004, s. 1, z późn. zm.</w:t>
      </w:r>
    </w:p>
  </w:footnote>
  <w:footnote w:id="45">
    <w:p w14:paraId="43958582" w14:textId="705093FE" w:rsidR="00845FBE" w:rsidRDefault="00845FBE">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46">
    <w:p w14:paraId="03AA0BC8" w14:textId="6EFFD343" w:rsidR="00845FBE" w:rsidRDefault="00845FBE">
      <w:pPr>
        <w:pStyle w:val="Tekstprzypisudolnego"/>
      </w:pPr>
      <w:r>
        <w:rPr>
          <w:rStyle w:val="Odwoanieprzypisudolnego"/>
        </w:rPr>
        <w:footnoteRef/>
      </w:r>
      <w:r>
        <w:t xml:space="preserve"> </w:t>
      </w:r>
      <w:r w:rsidRPr="00647DCF">
        <w:t>Dotyczy projektów o wartości od 5 mln EUR oraz wszystkich projektów objętych pomocą publiczną (tj. nie uwzględniając pomocy de minimis),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6BB4" w14:textId="77777777" w:rsidR="00845FBE" w:rsidRPr="00EA694E" w:rsidRDefault="00845FBE"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845FBE" w:rsidRPr="00EA694E" w:rsidRDefault="00845FBE"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A1D7" w14:textId="77777777" w:rsidR="00845FBE" w:rsidRDefault="00845FBE">
    <w:pPr>
      <w:pStyle w:val="Nagwek"/>
    </w:pPr>
    <w:r>
      <w:rPr>
        <w:noProof/>
      </w:rPr>
      <w:drawing>
        <wp:anchor distT="0" distB="0" distL="114300" distR="114300" simplePos="0" relativeHeight="251658240" behindDoc="0" locked="0" layoutInCell="1" allowOverlap="1" wp14:anchorId="64E438C5" wp14:editId="6D583526">
          <wp:simplePos x="0" y="0"/>
          <wp:positionH relativeFrom="page">
            <wp:align>right</wp:align>
          </wp:positionH>
          <wp:positionV relativeFrom="page">
            <wp:posOffset>109855</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139" w14:textId="0A2042F5" w:rsidR="00845FBE" w:rsidRPr="00C572E3" w:rsidRDefault="00845FBE"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1D367CB6">
          <wp:simplePos x="0" y="0"/>
          <wp:positionH relativeFrom="column">
            <wp:posOffset>-557430</wp:posOffset>
          </wp:positionH>
          <wp:positionV relativeFrom="paragraph">
            <wp:posOffset>13970</wp:posOffset>
          </wp:positionV>
          <wp:extent cx="7346315" cy="688975"/>
          <wp:effectExtent l="0" t="0" r="0" b="0"/>
          <wp:wrapTopAndBottom/>
          <wp:docPr id="7" name="Obraz 7"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845FBE" w:rsidRPr="00911F3A" w:rsidRDefault="00845FBE"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0601960">
    <w:abstractNumId w:val="46"/>
  </w:num>
  <w:num w:numId="2" w16cid:durableId="1783259210">
    <w:abstractNumId w:val="26"/>
  </w:num>
  <w:num w:numId="3" w16cid:durableId="728384540">
    <w:abstractNumId w:val="4"/>
  </w:num>
  <w:num w:numId="4" w16cid:durableId="886574843">
    <w:abstractNumId w:val="58"/>
  </w:num>
  <w:num w:numId="5" w16cid:durableId="1253782632">
    <w:abstractNumId w:val="19"/>
  </w:num>
  <w:num w:numId="6" w16cid:durableId="292291348">
    <w:abstractNumId w:val="52"/>
  </w:num>
  <w:num w:numId="7" w16cid:durableId="1610818176">
    <w:abstractNumId w:val="59"/>
  </w:num>
  <w:num w:numId="8" w16cid:durableId="373389562">
    <w:abstractNumId w:val="9"/>
  </w:num>
  <w:num w:numId="9" w16cid:durableId="1232498331">
    <w:abstractNumId w:val="1"/>
  </w:num>
  <w:num w:numId="10" w16cid:durableId="1525702875">
    <w:abstractNumId w:val="69"/>
  </w:num>
  <w:num w:numId="11" w16cid:durableId="2007829484">
    <w:abstractNumId w:val="22"/>
  </w:num>
  <w:num w:numId="12" w16cid:durableId="104932884">
    <w:abstractNumId w:val="6"/>
  </w:num>
  <w:num w:numId="13" w16cid:durableId="217792116">
    <w:abstractNumId w:val="25"/>
  </w:num>
  <w:num w:numId="14" w16cid:durableId="1586963521">
    <w:abstractNumId w:val="47"/>
  </w:num>
  <w:num w:numId="15" w16cid:durableId="1841919824">
    <w:abstractNumId w:val="45"/>
  </w:num>
  <w:num w:numId="16" w16cid:durableId="1916471078">
    <w:abstractNumId w:val="57"/>
  </w:num>
  <w:num w:numId="17" w16cid:durableId="754009722">
    <w:abstractNumId w:val="41"/>
  </w:num>
  <w:num w:numId="18" w16cid:durableId="732897155">
    <w:abstractNumId w:val="40"/>
  </w:num>
  <w:num w:numId="19" w16cid:durableId="839586208">
    <w:abstractNumId w:val="33"/>
  </w:num>
  <w:num w:numId="20" w16cid:durableId="1101491905">
    <w:abstractNumId w:val="27"/>
  </w:num>
  <w:num w:numId="21" w16cid:durableId="878125973">
    <w:abstractNumId w:val="34"/>
  </w:num>
  <w:num w:numId="22" w16cid:durableId="1603106951">
    <w:abstractNumId w:val="20"/>
  </w:num>
  <w:num w:numId="23" w16cid:durableId="1940259677">
    <w:abstractNumId w:val="48"/>
  </w:num>
  <w:num w:numId="24" w16cid:durableId="989672760">
    <w:abstractNumId w:val="14"/>
  </w:num>
  <w:num w:numId="25" w16cid:durableId="93063217">
    <w:abstractNumId w:val="61"/>
  </w:num>
  <w:num w:numId="26" w16cid:durableId="129829980">
    <w:abstractNumId w:val="30"/>
  </w:num>
  <w:num w:numId="27" w16cid:durableId="1181047797">
    <w:abstractNumId w:val="65"/>
  </w:num>
  <w:num w:numId="28" w16cid:durableId="1380058639">
    <w:abstractNumId w:val="60"/>
  </w:num>
  <w:num w:numId="29" w16cid:durableId="1304769065">
    <w:abstractNumId w:val="66"/>
  </w:num>
  <w:num w:numId="30" w16cid:durableId="717170257">
    <w:abstractNumId w:val="36"/>
  </w:num>
  <w:num w:numId="31" w16cid:durableId="1130979987">
    <w:abstractNumId w:val="35"/>
  </w:num>
  <w:num w:numId="32" w16cid:durableId="67196326">
    <w:abstractNumId w:val="15"/>
  </w:num>
  <w:num w:numId="33" w16cid:durableId="565993745">
    <w:abstractNumId w:val="21"/>
  </w:num>
  <w:num w:numId="34" w16cid:durableId="1565025986">
    <w:abstractNumId w:val="62"/>
  </w:num>
  <w:num w:numId="35" w16cid:durableId="595484443">
    <w:abstractNumId w:val="13"/>
  </w:num>
  <w:num w:numId="36" w16cid:durableId="582448641">
    <w:abstractNumId w:val="18"/>
  </w:num>
  <w:num w:numId="37" w16cid:durableId="1939556365">
    <w:abstractNumId w:val="5"/>
  </w:num>
  <w:num w:numId="38" w16cid:durableId="430971719">
    <w:abstractNumId w:val="32"/>
  </w:num>
  <w:num w:numId="39" w16cid:durableId="1437940677">
    <w:abstractNumId w:val="43"/>
  </w:num>
  <w:num w:numId="40" w16cid:durableId="91514387">
    <w:abstractNumId w:val="53"/>
  </w:num>
  <w:num w:numId="41" w16cid:durableId="275597677">
    <w:abstractNumId w:val="63"/>
  </w:num>
  <w:num w:numId="42" w16cid:durableId="1194344744">
    <w:abstractNumId w:val="51"/>
  </w:num>
  <w:num w:numId="43" w16cid:durableId="1640067255">
    <w:abstractNumId w:val="16"/>
  </w:num>
  <w:num w:numId="44" w16cid:durableId="1043098232">
    <w:abstractNumId w:val="31"/>
  </w:num>
  <w:num w:numId="45" w16cid:durableId="58751963">
    <w:abstractNumId w:val="56"/>
  </w:num>
  <w:num w:numId="46" w16cid:durableId="1774131000">
    <w:abstractNumId w:val="64"/>
  </w:num>
  <w:num w:numId="47" w16cid:durableId="525170631">
    <w:abstractNumId w:val="68"/>
  </w:num>
  <w:num w:numId="48" w16cid:durableId="358626526">
    <w:abstractNumId w:val="54"/>
  </w:num>
  <w:num w:numId="49" w16cid:durableId="293100576">
    <w:abstractNumId w:val="39"/>
  </w:num>
  <w:num w:numId="50" w16cid:durableId="32289827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5898171">
    <w:abstractNumId w:val="29"/>
  </w:num>
  <w:num w:numId="52" w16cid:durableId="848062499">
    <w:abstractNumId w:val="0"/>
  </w:num>
  <w:num w:numId="53" w16cid:durableId="742988095">
    <w:abstractNumId w:val="7"/>
  </w:num>
  <w:num w:numId="54" w16cid:durableId="727991828">
    <w:abstractNumId w:val="17"/>
  </w:num>
  <w:num w:numId="55" w16cid:durableId="535889762">
    <w:abstractNumId w:val="10"/>
  </w:num>
  <w:num w:numId="56" w16cid:durableId="412051901">
    <w:abstractNumId w:val="67"/>
  </w:num>
  <w:num w:numId="57" w16cid:durableId="1700813133">
    <w:abstractNumId w:val="8"/>
  </w:num>
  <w:num w:numId="58" w16cid:durableId="1869372685">
    <w:abstractNumId w:val="12"/>
  </w:num>
  <w:num w:numId="59" w16cid:durableId="1703286043">
    <w:abstractNumId w:val="38"/>
  </w:num>
  <w:num w:numId="60" w16cid:durableId="845752558">
    <w:abstractNumId w:val="42"/>
  </w:num>
  <w:num w:numId="61" w16cid:durableId="178742923">
    <w:abstractNumId w:val="49"/>
  </w:num>
  <w:num w:numId="62" w16cid:durableId="1110199862">
    <w:abstractNumId w:val="50"/>
  </w:num>
  <w:num w:numId="63" w16cid:durableId="1834173857">
    <w:abstractNumId w:val="28"/>
  </w:num>
  <w:num w:numId="64" w16cid:durableId="937560100">
    <w:abstractNumId w:val="23"/>
  </w:num>
  <w:num w:numId="65" w16cid:durableId="283123259">
    <w:abstractNumId w:val="37"/>
  </w:num>
  <w:num w:numId="66" w16cid:durableId="1865633905">
    <w:abstractNumId w:val="44"/>
  </w:num>
  <w:num w:numId="67" w16cid:durableId="195317439">
    <w:abstractNumId w:val="3"/>
  </w:num>
  <w:num w:numId="68" w16cid:durableId="1293051647">
    <w:abstractNumId w:val="55"/>
  </w:num>
  <w:num w:numId="69" w16cid:durableId="1673293116">
    <w:abstractNumId w:val="2"/>
  </w:num>
  <w:num w:numId="70" w16cid:durableId="1176503093">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235E0"/>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A20"/>
    <w:rsid w:val="000A1DFA"/>
    <w:rsid w:val="000A3DA2"/>
    <w:rsid w:val="000A3F96"/>
    <w:rsid w:val="000A6F12"/>
    <w:rsid w:val="000A7C0D"/>
    <w:rsid w:val="000B2746"/>
    <w:rsid w:val="000B39BC"/>
    <w:rsid w:val="000B3DDA"/>
    <w:rsid w:val="000B473D"/>
    <w:rsid w:val="000B4E4B"/>
    <w:rsid w:val="000B6782"/>
    <w:rsid w:val="000B71E6"/>
    <w:rsid w:val="000B7522"/>
    <w:rsid w:val="000C02A5"/>
    <w:rsid w:val="000C1A99"/>
    <w:rsid w:val="000C1DB2"/>
    <w:rsid w:val="000C257C"/>
    <w:rsid w:val="000C3A12"/>
    <w:rsid w:val="000C5B0B"/>
    <w:rsid w:val="000C6C33"/>
    <w:rsid w:val="000C7280"/>
    <w:rsid w:val="000C74BC"/>
    <w:rsid w:val="000D0AAD"/>
    <w:rsid w:val="000D283E"/>
    <w:rsid w:val="000D32C2"/>
    <w:rsid w:val="000D33BD"/>
    <w:rsid w:val="000D36FF"/>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3F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3EF4"/>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84E86"/>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3294"/>
    <w:rsid w:val="0046451A"/>
    <w:rsid w:val="00464C79"/>
    <w:rsid w:val="00466B2F"/>
    <w:rsid w:val="00467A39"/>
    <w:rsid w:val="00470674"/>
    <w:rsid w:val="00470FE4"/>
    <w:rsid w:val="00471B59"/>
    <w:rsid w:val="00472846"/>
    <w:rsid w:val="00472FF6"/>
    <w:rsid w:val="00474047"/>
    <w:rsid w:val="004806C5"/>
    <w:rsid w:val="004834DC"/>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30A"/>
    <w:rsid w:val="00586D22"/>
    <w:rsid w:val="005902A4"/>
    <w:rsid w:val="00591BBB"/>
    <w:rsid w:val="00591DA7"/>
    <w:rsid w:val="00592970"/>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5309"/>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5FBE"/>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3B3"/>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091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B7A7C"/>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1900"/>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5C2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52BC"/>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17F60"/>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5D5F"/>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21402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8DDF-9DAC-4255-B9EB-7A582D8D7299}">
  <ds:schemaRefs>
    <ds:schemaRef ds:uri="http://www.w3.org/2001/XMLSchema"/>
  </ds:schemaRefs>
</ds:datastoreItem>
</file>

<file path=customXml/itemProps2.xml><?xml version="1.0" encoding="utf-8"?>
<ds:datastoreItem xmlns:ds="http://schemas.openxmlformats.org/officeDocument/2006/customXml" ds:itemID="{BE6D9B97-3084-44E9-AD30-1F88185B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kolor_RPO.dotx</Template>
  <TotalTime>12</TotalTime>
  <Pages>54</Pages>
  <Words>18295</Words>
  <Characters>109770</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Karolina Czerepak</cp:lastModifiedBy>
  <cp:revision>3</cp:revision>
  <cp:lastPrinted>2025-02-27T18:51:00Z</cp:lastPrinted>
  <dcterms:created xsi:type="dcterms:W3CDTF">2025-09-09T07:33:00Z</dcterms:created>
  <dcterms:modified xsi:type="dcterms:W3CDTF">2025-09-09T07:40:00Z</dcterms:modified>
</cp:coreProperties>
</file>