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bookmarkStart w:colFirst="0" w:colLast="0" w:name="_heading=h.bscz11stcyjk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 do Regulaminu naboru wniosków o wsparcie</w:t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6.12 Infrastruktura turystyki – RLKS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1790700</wp:posOffset>
            </wp:positionH>
            <wp:positionV relativeFrom="paragraph">
              <wp:posOffset>6985</wp:posOffset>
            </wp:positionV>
            <wp:extent cx="733425" cy="304778"/>
            <wp:effectExtent b="0" l="0" r="0" t="0"/>
            <wp:wrapNone/>
            <wp:docPr descr="Logo Żuławska Lokalna Grupa Działania" id="1157308094" name="image1.png"/>
            <a:graphic>
              <a:graphicData uri="http://schemas.openxmlformats.org/drawingml/2006/picture">
                <pic:pic>
                  <pic:nvPicPr>
                    <pic:cNvPr descr="Logo Żuławska Lokalna Grupa Działan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</w:p>
    <w:p w:rsidR="00000000" w:rsidDel="00000000" w:rsidP="00000000" w:rsidRDefault="00000000" w:rsidRPr="00000000" w14:paraId="00000004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5fw4ijn9bsaj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Zasady kwalifikowania wydatków w projektach </w:t>
      </w:r>
    </w:p>
    <w:p w:rsidR="00000000" w:rsidDel="00000000" w:rsidP="00000000" w:rsidRDefault="00000000" w:rsidRPr="00000000" w14:paraId="00000006">
      <w:pPr>
        <w:keepNext w:val="1"/>
        <w:keepLines w:val="1"/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w ramach Działania 6.12 Infrastruktura turystyki - RLKS </w:t>
      </w:r>
    </w:p>
    <w:p w:rsidR="00000000" w:rsidDel="00000000" w:rsidP="00000000" w:rsidRDefault="00000000" w:rsidRPr="00000000" w14:paraId="00000007">
      <w:pPr>
        <w:keepNext w:val="1"/>
        <w:keepLines w:val="1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Wydatki kwalifikowalne</w:t>
      </w:r>
    </w:p>
    <w:p w:rsidR="00000000" w:rsidDel="00000000" w:rsidP="00000000" w:rsidRDefault="00000000" w:rsidRPr="00000000" w14:paraId="00000009">
      <w:pPr>
        <w:shd w:fill="f2f2f2" w:val="clear"/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Zasady ogólne:</w:t>
      </w:r>
    </w:p>
    <w:p w:rsidR="00000000" w:rsidDel="00000000" w:rsidP="00000000" w:rsidRDefault="00000000" w:rsidRPr="00000000" w14:paraId="0000000A">
      <w:pPr>
        <w:shd w:fill="f2f2f2" w:val="clear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Wydatek jest kwalifikowalny jeżeli spełnia ogólne warunki kwalifikowalności określone w Podrozdziale 2.2 Wytycznych Ministra Funduszy i Polityki Regionalnej dotyczących kwalifikowalności wydatków na lata 2021-2027 z uwzględnieniem zasad opisanych poniżej.</w:t>
      </w:r>
    </w:p>
    <w:p w:rsidR="00000000" w:rsidDel="00000000" w:rsidP="00000000" w:rsidRDefault="00000000" w:rsidRPr="00000000" w14:paraId="0000000B">
      <w:pPr>
        <w:shd w:fill="f2f2f2" w:val="clear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2f2f2" w:val="clear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przypadku projektu dotyczącego infrastruktury kąpielisk, wydatek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jest kwalifikowalny jeśli jest niezbędny do osiągnięcia celów projektu w zakresie zadań realizowanych w granicach kąpieliska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Kwalifikowalne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wydatki bezpośrednie</w:t>
      </w:r>
      <w:r w:rsidDel="00000000" w:rsidR="00000000" w:rsidRPr="00000000">
        <w:rPr>
          <w:rtl w:val="0"/>
        </w:rPr>
        <w:t xml:space="preserve"> poniesione w ramach projektu obejmują w szczególności: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opracowania lub aktualizacji dokumentów i prac niezbędnych do przygotowania projektu m.in. koncepcja budowlana, raport oddziaływania na środowisko, projekt budowlany, projekt architektoniczny i wykonawczy, prace geodezyjne,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wytyczenia oraz oznakowania szlaków/ tras objętych dofinansowaniem,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materiałów i robót budowlanych, w tym dotyczących niezbędnej infrastruktury, związanych bezpośrednio z zakresem wsparcia na wdrażanie LSR, którego dotyczy nabór wniosków,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zagospodarowania terenu, w tym m.in. elementów małej architektury, oznakowania, tablic informacyjnych/ regulaminów korzystania,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budowy nowych dróg i parkingów stanowiących niezbędne miejsca postojowe użytkowane tylko przez osoby z niepełnosprawnościami albo wjazdy w obrębie kąpieliska dla osób z niepełnosprawnościami, </w:t>
      </w:r>
      <w:r w:rsidDel="00000000" w:rsidR="00000000" w:rsidRPr="00000000">
        <w:rPr>
          <w:rtl w:val="0"/>
        </w:rPr>
        <w:t xml:space="preserve">będących nieodłącznym elementem większego projektu, których koszt nie stanowi większości kosztów kwalifikowalnych (nie są dominującym elementem projektu),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wydatki związane z likwidacją barier architektonicznych oraz poprawą dostępności cyfrowej i informacyjno-komunikacyjnej, w szczególności w oparciu o projektowanie uniwersalne lub zastosowanie racjonalnego usprawnienia, uwzględniające potrzeby osób z niepełnosprawnościami i opiekunów osób zależnych, np.: dźwiękowe urządzenia nawigacyjno-informacyjne, miejsca przeznaczone do pielęgnacji osób, które ze względu na wiek, niepełnosprawność lub chorobę wymagają ułożenia w pozycji poziomej (na leżance) podczas czynności pielęgnacyjno-higienicznych (tzw. komfortki), przestrzenie manewrowe dla osób poruszających się na wózkach elektrycznych, itp.;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zakupu i montażu trwałego wyposażenia oraz wartości niematerialnych i prawnych podlegających amortyzacji, ujętych w ewidencji środków trwałych oraz wartości niematerialnych i prawnych,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zakupu sprzętu ratowniczego/ ratunkowego oraz sprzętu stanowiącego udogodnienie dla osób z niepełnosprawnościami (np. amfibie)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budowy, rozbudowy, przebudowy albo innych robót budowlanych związanych z magazynami sprzętu wodnego i sanitariatami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nadzoru inwestorskiego: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2% kosztów robót budowlanych i montażowych (kwalifikowalnych i niekwalifikowalnych) bez kontroli rozliczenia budowy,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3% kosztów robót budowlanych i montażowych (kwalifikowalnych i niekwalifikowalnych) z kontrolą rozliczenia budowy,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inżyniera kontraktu, inwestora zastępczego do 7% kosztów robót budowlanych i montażowych (kwalifikowalnych i niekwalifikowalnych),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nadzoru autorskiego do 15 % kosztów dokumentacji projektowej związanej z realizowanym projektem,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koszty informacji i promocji w szczególności: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przygotowanie lub aktualizacja informacji lub zakładki na stronie internetowej poświęconej projektowi,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tablice informacyjne,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plakaty informacyjne w miejscu realizacji projektu,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2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organizacja wydarzeń informacyjnych lub działań komunikacyjnych np. z udziałem Komisji Europejskiej (w tym m.in. najem sali, zapewnienie nagłośnienia, zakup cateringu, zakup reklamy w mediach dot. wydarzenia itp.).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42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podatek od towarów i usług (VAT).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Wydatki niekwalifikowalne </w:t>
      </w:r>
    </w:p>
    <w:p w:rsidR="00000000" w:rsidDel="00000000" w:rsidP="00000000" w:rsidRDefault="00000000" w:rsidRPr="00000000" w14:paraId="00000024">
      <w:pPr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Niekwalifikowalne wydatki </w:t>
      </w:r>
      <w:r w:rsidDel="00000000" w:rsidR="00000000" w:rsidRPr="00000000">
        <w:rPr>
          <w:rtl w:val="0"/>
        </w:rPr>
        <w:t xml:space="preserve">poniesione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 ramach projektu obejmują w szczególności: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budowy nowych dróg lub parkingów nie stanowiących niezbędnych miejsc postojowych użytkowanych tylko przez osoby z niepełnosprawnościami albo wjazdów w obrębie kąpieliska dla osób z niepełnosprawnościami,</w:t>
      </w:r>
    </w:p>
    <w:p w:rsidR="00000000" w:rsidDel="00000000" w:rsidP="00000000" w:rsidRDefault="00000000" w:rsidRPr="00000000" w14:paraId="00000026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budowy nowych dróg lub parkingów stanowiących niezbędne miejsca postojowe użytkowane tylko przez osoby z niepełnosprawnościami albo wjazdy w obrębie kąpieliska dla osób z niepełnosprawnościami, będące nieodłącznym elementem większego projektu (nie będącą dominującym elementem projektu) powyżej 15% kosztów kwalifikowalnych projektu,</w:t>
      </w:r>
    </w:p>
    <w:p w:rsidR="00000000" w:rsidDel="00000000" w:rsidP="00000000" w:rsidRDefault="00000000" w:rsidRPr="00000000" w14:paraId="00000027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pośrednie o których mowa w Podrozdziale 3.12 Wytycznych dotyczących kwalifikowalności, </w:t>
      </w:r>
    </w:p>
    <w:p w:rsidR="00000000" w:rsidDel="00000000" w:rsidP="00000000" w:rsidRDefault="00000000" w:rsidRPr="00000000" w14:paraId="00000028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nadzoru inwestorskiego, inżyniera kontraktu oraz nadzoru autorskiego powyżej limitów określonych w pkt. 1, </w:t>
      </w:r>
    </w:p>
    <w:p w:rsidR="00000000" w:rsidDel="00000000" w:rsidP="00000000" w:rsidRDefault="00000000" w:rsidRPr="00000000" w14:paraId="00000029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wynagrodzeń personelu bezpośredniego beneficjenta/partnerów,</w:t>
      </w:r>
    </w:p>
    <w:p w:rsidR="00000000" w:rsidDel="00000000" w:rsidP="00000000" w:rsidRDefault="00000000" w:rsidRPr="00000000" w14:paraId="0000002A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:rsidR="00000000" w:rsidDel="00000000" w:rsidP="00000000" w:rsidRDefault="00000000" w:rsidRPr="00000000" w14:paraId="0000002B">
      <w:pPr>
        <w:pStyle w:val="Heading2"/>
        <w:numPr>
          <w:ilvl w:val="0"/>
          <w:numId w:val="5"/>
        </w:numPr>
        <w:spacing w:after="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koszty zakupu wyposażenia i wartości niematerialnych i prawnych niepodlegających amortyzacji oraz nieujętych w ewidencji środków trwałych oraz wartości niematerialnych i prawnych za wyjątkiem zakupu sprzętu ratowniczego i ratunkowego oraz sprzętu stanowiącego udogodnienia dla osób niepełnosprawnych zatwierdzonych przez IZ FEP 2021-2027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5"/>
        </w:numPr>
        <w:spacing w:after="160" w:before="0" w:line="259" w:lineRule="auto"/>
        <w:ind w:left="1080" w:hanging="360"/>
        <w:rPr/>
      </w:pPr>
      <w:r w:rsidDel="00000000" w:rsidR="00000000" w:rsidRPr="00000000">
        <w:rPr>
          <w:rtl w:val="0"/>
        </w:rPr>
        <w:t xml:space="preserve">wydatki wyszczególnione w Podrozdziale 2.3 Wytycznych MFiPR dotyczących kwalifikowalności wydatków na lata 2021-2027.</w:t>
      </w:r>
    </w:p>
    <w:p w:rsidR="00000000" w:rsidDel="00000000" w:rsidP="00000000" w:rsidRDefault="00000000" w:rsidRPr="00000000" w14:paraId="0000002D">
      <w:pPr>
        <w:spacing w:after="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2f2f2" w:val="clear"/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Uwaga!</w:t>
      </w:r>
    </w:p>
    <w:p w:rsidR="00000000" w:rsidDel="00000000" w:rsidP="00000000" w:rsidRDefault="00000000" w:rsidRPr="00000000" w14:paraId="0000002F">
      <w:pPr>
        <w:shd w:fill="f2f2f2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proporcjonalny. </w:t>
      </w:r>
    </w:p>
    <w:p w:rsidR="00000000" w:rsidDel="00000000" w:rsidP="00000000" w:rsidRDefault="00000000" w:rsidRPr="00000000" w14:paraId="00000030">
      <w:pPr>
        <w:shd w:fill="f2f2f2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Wnioskodawca jest zobowiązany do stosowania zasad określonych w Podrozdziale 3.2. Zasada konkurencyjności Wytycznych dotyczących kwalifikowalności wydatków na lata 2021-2027 (o ile dotyczy).</w:t>
      </w:r>
    </w:p>
    <w:p w:rsidR="00000000" w:rsidDel="00000000" w:rsidP="00000000" w:rsidRDefault="00000000" w:rsidRPr="00000000" w14:paraId="00000031">
      <w:pPr>
        <w:shd w:fill="f2f2f2" w:val="clear"/>
        <w:jc w:val="both"/>
        <w:rPr/>
      </w:pPr>
      <w:r w:rsidDel="00000000" w:rsidR="00000000" w:rsidRPr="00000000">
        <w:rPr>
          <w:rtl w:val="0"/>
        </w:rPr>
        <w:t xml:space="preserve">W takim przypadku, jeśli Wnioskodawca rozpocznie realizację projektu na własne ryzyko przed podpisaniem umowy o dofinansowanie projektu, zobowiązany jest do upublicznienia zapytania ofertowego za pomocą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Bazy Konkurencyjności (BK2021)</w:t>
        </w:r>
      </w:hyperlink>
      <w:r w:rsidDel="00000000" w:rsidR="00000000" w:rsidRPr="00000000">
        <w:rPr>
          <w:rtl w:val="0"/>
        </w:rPr>
        <w:t xml:space="preserve"> – zgodnie z treścią Sekcji 3.2.3 Ogłoszenia Podrozdziału 3.2. Wytycznych dotyczących kwalifikowalności wydatków na lata 2021-2027.</w:t>
      </w:r>
    </w:p>
    <w:p w:rsidR="00000000" w:rsidDel="00000000" w:rsidP="00000000" w:rsidRDefault="00000000" w:rsidRPr="00000000" w14:paraId="00000032">
      <w:pPr>
        <w:shd w:fill="f2f2f2" w:val="clear"/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6838" w:w="11906" w:orient="portrait"/>
      <w:pgMar w:bottom="1418" w:top="1701" w:left="1418" w:right="1418" w:header="340" w:footer="97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36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qboiwkf1jjg9" w:id="2"/>
    <w:bookmarkEnd w:id="2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-900429</wp:posOffset>
              </wp:positionH>
              <wp:positionV relativeFrom="paragraph">
                <wp:posOffset>105410</wp:posOffset>
              </wp:positionV>
              <wp:extent cx="7559675" cy="535305"/>
              <wp:effectExtent b="0" l="0" r="0" t="0"/>
              <wp:wrapNone/>
              <wp:docPr id="115730809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6150" y="3507575"/>
                        <a:ext cx="7559675" cy="535305"/>
                        <a:chOff x="1566150" y="3507575"/>
                        <a:chExt cx="7559700" cy="540100"/>
                      </a:xfrm>
                    </wpg:grpSpPr>
                    <wpg:grpSp>
                      <wpg:cNvGrpSpPr/>
                      <wpg:grpSpPr>
                        <a:xfrm>
                          <a:off x="1566163" y="3512348"/>
                          <a:ext cx="7559675" cy="535305"/>
                          <a:chOff x="0" y="0"/>
                          <a:chExt cx="7559675" cy="53530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59675" cy="5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descr="Fundusze Europejskie dla Pomorza 2021-2027" id="7" name="Shape 7"/>
                        <wps:spPr>
                          <a:xfrm>
                            <a:off x="0" y="220980"/>
                            <a:ext cx="7559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Open Sans Medium" w:cs="Open Sans Medium" w:eastAsia="Open Sans Medium" w:hAnsi="Open Sans Medium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Fundusze Europejskie dla Pomorza 2021-2027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0500" y="0"/>
                            <a:ext cx="717423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-900429</wp:posOffset>
              </wp:positionH>
              <wp:positionV relativeFrom="paragraph">
                <wp:posOffset>105410</wp:posOffset>
              </wp:positionV>
              <wp:extent cx="7559675" cy="535305"/>
              <wp:effectExtent b="0" l="0" r="0" t="0"/>
              <wp:wrapNone/>
              <wp:docPr id="11573080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675" cy="535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Zgodnie z SZOP,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1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Dotyczy typu projektów: Rozwój infrastruktury bezpiecznych kąpielisk </w:t>
      </w:r>
    </w:p>
  </w:footnote>
  <w:footnote w:id="2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Dotyczy typu projektów: Rozwój infrastruktury bezpiecznych kąpielisk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Dotyczy typu projektów: Rozwój infrastruktury bezpiecznych kąpielisk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-808989</wp:posOffset>
              </wp:positionH>
              <wp:positionV relativeFrom="paragraph">
                <wp:posOffset>-10159</wp:posOffset>
              </wp:positionV>
              <wp:extent cx="7379970" cy="792480"/>
              <wp:effectExtent b="0" l="0" r="0" t="0"/>
              <wp:wrapNone/>
              <wp:docPr descr="Ciąg czterech logotypów w kolejności od lewej: 1. Fundusze Europejskie dla Pomorza, 2. Rzeczpospolita Polska, 3. Dofinansowane przez Unię Europejską, 4. Urząd Marszałkowski Województwa Pomorskiego" id="115730809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56000" y="3383750"/>
                        <a:ext cx="7379970" cy="792480"/>
                        <a:chOff x="1656000" y="3383750"/>
                        <a:chExt cx="7380000" cy="797275"/>
                      </a:xfrm>
                    </wpg:grpSpPr>
                    <wpg:grpSp>
                      <wpg:cNvGrpSpPr/>
                      <wpg:grpSpPr>
                        <a:xfrm>
                          <a:off x="1656015" y="3383760"/>
                          <a:ext cx="7379970" cy="792480"/>
                          <a:chOff x="0" y="0"/>
                          <a:chExt cx="7379970" cy="7924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379950" cy="79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iąg czterech logotypów w kolejności od lewej: 1. Fundusze Europejskie dla Pomorza, 2. Rzeczpospolita Polska, 3. Dofinansowane przez Unię Europejską, 4. Urząd Marszałkowski Województwa Pomorskiego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37997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8580" y="792480"/>
                            <a:ext cx="72580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-808989</wp:posOffset>
              </wp:positionH>
              <wp:positionV relativeFrom="paragraph">
                <wp:posOffset>-10159</wp:posOffset>
              </wp:positionV>
              <wp:extent cx="7379970" cy="792480"/>
              <wp:effectExtent b="0" l="0" r="0" t="0"/>
              <wp:wrapNone/>
              <wp:docPr descr="Ciąg czterech logotypów w kolejności od lewej: 1. Fundusze Europejskie dla Pomorza, 2. Rzeczpospolita Polska, 3. Dofinansowane przez Unię Europejską, 4. Urząd Marszałkowski Województwa Pomorskiego" id="1157308092" name="image2.png"/>
              <a:graphic>
                <a:graphicData uri="http://schemas.openxmlformats.org/drawingml/2006/picture">
                  <pic:pic>
                    <pic:nvPicPr>
    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79970" cy="792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4000" w:lineRule="auto"/>
      <w:ind w:left="714" w:hanging="357"/>
      <w:jc w:val="both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240" w:before="120" w:lineRule="auto"/>
      <w:ind w:left="567" w:hanging="425"/>
      <w:jc w:val="both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 w:val="1"/>
    <w:rsid w:val="007421AE"/>
    <w:pPr>
      <w:ind w:left="720"/>
    </w:pPr>
    <w:rPr>
      <w:rFonts w:ascii="Calibri" w:cs="Calibri" w:hAnsi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 w:val="1"/>
      <w:bCs w:val="1"/>
    </w:rPr>
  </w:style>
  <w:style w:type="character" w:styleId="TematkomentarzaZnak" w:customStyle="1">
    <w:name w:val="Temat komentarza Znak"/>
    <w:link w:val="Tematkomentarza"/>
    <w:rsid w:val="00D234CE"/>
    <w:rPr>
      <w:rFonts w:ascii="Arial" w:hAnsi="Arial"/>
      <w:b w:val="1"/>
      <w:bCs w:val="1"/>
    </w:rPr>
  </w:style>
  <w:style w:type="paragraph" w:styleId="Tekstdymka">
    <w:name w:val="Balloon Text"/>
    <w:basedOn w:val="Normalny"/>
    <w:link w:val="TekstdymkaZnak"/>
    <w:rsid w:val="00D234CE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rsid w:val="00D234CE"/>
    <w:rPr>
      <w:rFonts w:ascii="Tahoma" w:cs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 w:val="1"/>
    <w:rsid w:val="00D9595F"/>
    <w:rPr>
      <w:szCs w:val="20"/>
    </w:rPr>
  </w:style>
  <w:style w:type="character" w:styleId="TekstprzypisudolnegoZnak" w:customStyle="1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styleId="Nagwek2Znak" w:customStyle="1">
    <w:name w:val="Nagłówek 2 Znak"/>
    <w:link w:val="Nagwek2"/>
    <w:rsid w:val="00E85647"/>
    <w:rPr>
      <w:rFonts w:asciiTheme="minorHAnsi" w:hAnsiTheme="minorHAnsi"/>
      <w:bCs w:val="1"/>
      <w:iCs w:val="1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 w:val="1"/>
    <w:rsid w:val="004D3F1B"/>
    <w:rPr>
      <w:rFonts w:ascii="Calibri" w:eastAsia="Calibri" w:hAnsi="Calibri"/>
      <w:szCs w:val="21"/>
      <w:lang w:eastAsia="en-US"/>
    </w:rPr>
  </w:style>
  <w:style w:type="character" w:styleId="ZwykytekstZnak" w:customStyle="1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styleId="StopkaZnak" w:customStyle="1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styleId="Default" w:customStyle="1">
    <w:name w:val="Default"/>
    <w:rsid w:val="00A349DC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Poprawka">
    <w:name w:val="Revision"/>
    <w:hidden w:val="1"/>
    <w:uiPriority w:val="99"/>
    <w:semiHidden w:val="1"/>
    <w:rsid w:val="007546C4"/>
    <w:rPr>
      <w:rFonts w:ascii="Arial" w:hAnsi="Arial"/>
      <w:sz w:val="24"/>
      <w:szCs w:val="24"/>
    </w:rPr>
  </w:style>
  <w:style w:type="character" w:styleId="Nagwek3Znak" w:customStyle="1">
    <w:name w:val="Nagłówek 3 Znak"/>
    <w:basedOn w:val="Domylnaczcionkaakapitu"/>
    <w:link w:val="Nagwek3"/>
    <w:rsid w:val="00A411A5"/>
    <w:rPr>
      <w:rFonts w:eastAsia="MS Mincho" w:asciiTheme="minorHAnsi" w:cstheme="majorBidi" w:hAnsiTheme="minorHAnsi"/>
      <w:b w:val="1"/>
      <w:bCs w:val="1"/>
      <w:sz w:val="24"/>
      <w:szCs w:val="24"/>
      <w:lang w:eastAsia="ja-JP"/>
    </w:rPr>
  </w:style>
  <w:style w:type="character" w:styleId="AkapitzlistZnak" w:customStyle="1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 w:val="1"/>
    <w:locked w:val="1"/>
    <w:rsid w:val="007421AE"/>
    <w:rPr>
      <w:rFonts w:ascii="Calibri" w:cs="Calibri" w:hAnsi="Calibri"/>
      <w:sz w:val="22"/>
      <w:szCs w:val="22"/>
      <w:lang w:eastAsia="en-US"/>
    </w:rPr>
  </w:style>
  <w:style w:type="character" w:styleId="Nagwek1Znak" w:customStyle="1">
    <w:name w:val="Nagłówek 1 Znak"/>
    <w:basedOn w:val="Domylnaczcionkaakapitu"/>
    <w:link w:val="Nagwek1"/>
    <w:rsid w:val="00EF6BC8"/>
    <w:rPr>
      <w:rFonts w:asciiTheme="minorHAnsi" w:hAnsiTheme="minorHAnsi"/>
      <w:bCs w:val="1"/>
      <w:iCs w:val="1"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 w:val="1"/>
    <w:uiPriority w:val="39"/>
    <w:unhideWhenUsed w:val="1"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 w:val="1"/>
    <w:uiPriority w:val="39"/>
    <w:unhideWhenUsed w:val="1"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styleId="Nagwek4Znak" w:customStyle="1">
    <w:name w:val="Nagłówek 4 Znak"/>
    <w:basedOn w:val="Domylnaczcionkaakapitu"/>
    <w:link w:val="Nagwek4"/>
    <w:rsid w:val="007421AE"/>
    <w:rPr>
      <w:rFonts w:eastAsia="Calibri" w:asciiTheme="minorHAnsi" w:cstheme="majorBidi" w:hAnsiTheme="minorHAnsi"/>
      <w:b w:val="1"/>
      <w:iCs w:val="1"/>
      <w:sz w:val="22"/>
      <w:szCs w:val="24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855929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semiHidden w:val="1"/>
    <w:unhideWhenUsed w:val="1"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 w:val="1"/>
    <w:unhideWhenUsed w:val="1"/>
    <w:rsid w:val="0072397D"/>
    <w:pPr>
      <w:numPr>
        <w:numId w:val="1"/>
      </w:numPr>
      <w:spacing w:after="120"/>
      <w:ind w:left="357" w:hanging="357"/>
      <w:contextualSpacing w:val="1"/>
    </w:pPr>
  </w:style>
  <w:style w:type="paragraph" w:styleId="NAgwek40" w:customStyle="1">
    <w:name w:val="NAgłówek 4"/>
    <w:basedOn w:val="Nagwek4"/>
    <w:link w:val="NAgwek4Znak0"/>
    <w:qFormat w:val="1"/>
    <w:rsid w:val="007421AE"/>
    <w:pPr>
      <w:spacing w:before="120"/>
    </w:pPr>
    <w:rPr>
      <w:lang w:eastAsia="ja-JP"/>
    </w:rPr>
  </w:style>
  <w:style w:type="character" w:styleId="NAgwek4Znak0" w:customStyle="1">
    <w:name w:val="NAgłówek 4 Znak"/>
    <w:basedOn w:val="Nagwek4Znak"/>
    <w:link w:val="NAgwek40"/>
    <w:rsid w:val="007421AE"/>
    <w:rPr>
      <w:rFonts w:eastAsia="Calibri" w:asciiTheme="minorHAnsi" w:cstheme="majorBidi" w:hAnsiTheme="minorHAnsi"/>
      <w:b w:val="1"/>
      <w:iCs w:val="1"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849C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j7Ag53XFRG8RrKL4CPyCV6gxA==">CgMxLjAyDmguYnNjejExc3RjeWprMg5oLjVmdzRpam45YnNhajIOaC5xYm9pd2tmMWpqZzk4AHIhMVZFRTRUVHY5Y0xpZ3kyeGJKaENaeFBuNXJINzkwMXJZ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2025-02-11T04:57:00Z</dcterms:created>
  <dc:creator>Surudo Agnieszka</dc:creator>
</cp:coreProperties>
</file>