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46A01E2F" w:rsidR="00FB35F3" w:rsidRDefault="0007366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B2CBAB" wp14:editId="6508F7EC">
            <wp:simplePos x="0" y="0"/>
            <wp:positionH relativeFrom="column">
              <wp:posOffset>2415540</wp:posOffset>
            </wp:positionH>
            <wp:positionV relativeFrom="paragraph">
              <wp:posOffset>91440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FB35F3">
        <w:rPr>
          <w:rFonts w:ascii="Calibri" w:eastAsiaTheme="majorEastAsia" w:hAnsi="Calibri" w:cs="Calibri"/>
          <w:sz w:val="20"/>
          <w:szCs w:val="20"/>
        </w:rPr>
        <w:t>3.2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69F1C6EA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0D4A03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53A5C62D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000000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000000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6F72674E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</w:t>
            </w:r>
            <w:r w:rsidR="00E07BCB">
              <w:t xml:space="preserve">projektu </w:t>
            </w:r>
            <w:r w:rsidR="00E07BCB" w:rsidRPr="008F62F2">
              <w:t>nie</w:t>
            </w:r>
            <w:r w:rsidR="00117BFC" w:rsidRPr="003451C2">
              <w:rPr>
                <w:b/>
              </w:rPr>
              <w:t xml:space="preserve">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749C8A8E" w:rsidR="000E2592" w:rsidRPr="00F433A4" w:rsidRDefault="00964779">
            <w:r w:rsidRPr="00F433A4">
              <w:t xml:space="preserve">Zgodnie z </w:t>
            </w:r>
            <w:r w:rsidR="00F433A4" w:rsidRPr="00F433A4">
              <w:t>art.</w:t>
            </w:r>
            <w:r w:rsidR="00DB3196">
              <w:t xml:space="preserve"> </w:t>
            </w:r>
            <w:r w:rsidR="00F433A4" w:rsidRPr="00F433A4">
              <w:t>17 ust.</w:t>
            </w:r>
            <w:r w:rsidR="00DB3196">
              <w:t xml:space="preserve"> </w:t>
            </w:r>
            <w:r w:rsidR="00F433A4" w:rsidRPr="00F433A4">
              <w:t>1 lit.</w:t>
            </w:r>
            <w:r w:rsidR="00E07BCB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000000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000000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18874CDC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 xml:space="preserve">. W </w:t>
            </w:r>
            <w:r w:rsidR="00E07BCB">
              <w:t>przypadku,</w:t>
            </w:r>
            <w:r w:rsidR="0091107A">
              <w:t xml:space="preserve">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000000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000000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219D5708" w:rsidR="00AC4648" w:rsidRPr="003451C2" w:rsidRDefault="00AC4648">
            <w:r w:rsidRPr="003451C2">
              <w:t>Zgodnie z art.</w:t>
            </w:r>
            <w:r w:rsidR="00DB3196">
              <w:t xml:space="preserve"> </w:t>
            </w:r>
            <w:r w:rsidRPr="003451C2">
              <w:t>17 ust.</w:t>
            </w:r>
            <w:r w:rsidR="00DB3196">
              <w:t xml:space="preserve"> </w:t>
            </w:r>
            <w:r w:rsidRPr="003451C2">
              <w:t>1 lit.</w:t>
            </w:r>
            <w:r w:rsidR="00E07BCB">
              <w:t xml:space="preserve"> 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lud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47EE7B93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 xml:space="preserve">Do uzasadnienia można wykorzystać ustalenia dokumentów strategicznych w </w:t>
            </w:r>
            <w:r w:rsidR="00E07BCB" w:rsidRPr="00B406D4">
              <w:t>przypadku,</w:t>
            </w:r>
            <w:r w:rsidR="00B406D4" w:rsidRPr="00B406D4">
              <w:t xml:space="preserve">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>portalu Klimada 2.0 (</w:t>
            </w:r>
            <w:r w:rsidR="007B4825">
              <w:t xml:space="preserve">patrz: </w:t>
            </w:r>
            <w:hyperlink r:id="rId11" w:history="1">
              <w:r w:rsidR="007B4825" w:rsidRPr="007B4825">
                <w:rPr>
                  <w:rStyle w:val="Hipercze"/>
                </w:rPr>
                <w:t>Klimada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000000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000000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000000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000000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000000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000000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79045C42" w:rsidR="00252956" w:rsidRPr="00B53A0F" w:rsidRDefault="00252956" w:rsidP="00016DFC">
            <w:pPr>
              <w:ind w:left="22"/>
            </w:pPr>
            <w:r w:rsidRPr="00B53A0F">
              <w:t>Zgodnie z art.</w:t>
            </w:r>
            <w:r w:rsidR="00DB3196">
              <w:t xml:space="preserve"> </w:t>
            </w:r>
            <w:r w:rsidRPr="00B53A0F">
              <w:t>17 ust.</w:t>
            </w:r>
            <w:r w:rsidR="00DB3196">
              <w:t xml:space="preserve"> </w:t>
            </w:r>
            <w:r w:rsidRPr="00B53A0F">
              <w:t>1 lit.</w:t>
            </w:r>
            <w:r w:rsidR="00E07BCB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 xml:space="preserve">dobremu stanowi lub dobremu potencjałowi ekologicznemu jednolitych części wód, w tym wód powierzchniowych i wód podziemnych </w:t>
            </w:r>
            <w:r w:rsidR="00E07BCB" w:rsidRPr="00B53A0F">
              <w:t>lub dobremu</w:t>
            </w:r>
            <w:r w:rsidRPr="00B53A0F">
              <w:t xml:space="preserve">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>II aPGW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110427B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</w:t>
            </w:r>
            <w:r w:rsidR="00E07BCB">
              <w:t>odstępstwa z</w:t>
            </w:r>
            <w:r>
              <w:t xml:space="preserve">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000000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000000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000000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000000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3710B7D8" w:rsidR="00FE3446" w:rsidRPr="00DB6B02" w:rsidRDefault="00FE3446" w:rsidP="00FE3446"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000000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000000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6A50BEF3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 xml:space="preserve">zgodne z odpowiednimi </w:t>
            </w:r>
            <w:r w:rsidR="00E07BCB">
              <w:t>przepisami techniczno</w:t>
            </w:r>
            <w:r>
              <w:t xml:space="preserve"> – budowlanymi i normami jakości;</w:t>
            </w:r>
          </w:p>
          <w:p w14:paraId="63F94042" w14:textId="17699FC1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>infrastruktury i / lub sprzętu, zapewnią ich utrzymanie przez długi czas w dobrym stanie</w:t>
            </w:r>
            <w:r w:rsidR="00DB3196">
              <w:t>,</w:t>
            </w:r>
            <w:r w:rsidR="00AE434E">
              <w:t xml:space="preserve">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000000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000000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000000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000000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265AB371" w:rsidR="00D74FBB" w:rsidRPr="00DB6B02" w:rsidRDefault="00D74FBB"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</w:tcPr>
          <w:p w14:paraId="64FCC010" w14:textId="003A8BF8" w:rsidR="00626EC1" w:rsidRPr="008F62F2" w:rsidRDefault="00000000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000000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best available techniques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</w:tcPr>
          <w:p w14:paraId="4FDE33A5" w14:textId="4F3200B2" w:rsidR="00626EC1" w:rsidRPr="007B68FD" w:rsidRDefault="00000000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000000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7C28E7E2" w:rsidR="007E5B54" w:rsidRPr="00626EC1" w:rsidRDefault="003068D1" w:rsidP="003068D1">
            <w:pPr>
              <w:ind w:left="22"/>
            </w:pPr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</w:tcPr>
          <w:p w14:paraId="633197EA" w14:textId="28F08DC4" w:rsidR="00626EC1" w:rsidRPr="007B68FD" w:rsidRDefault="00000000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000000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55B92B3C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</w:t>
            </w:r>
            <w:r w:rsidR="00E07BCB">
              <w:t>lokalizację projektu</w:t>
            </w:r>
            <w:r>
              <w:t xml:space="preserve">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>oraz rangi regionalnej i subregionalnej</w:t>
            </w:r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</w:tcPr>
          <w:p w14:paraId="5417F8C3" w14:textId="55F5F2CD" w:rsidR="00626EC1" w:rsidRPr="007B68FD" w:rsidRDefault="00000000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000000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</w:tcPr>
          <w:p w14:paraId="50C639EA" w14:textId="77777777" w:rsidR="00047194" w:rsidRDefault="00000000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000000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000000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06BBBEB8" w14:textId="77777777" w:rsidR="00C82982" w:rsidRDefault="00C82982" w:rsidP="00C82982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6B90541C" w14:textId="77777777" w:rsidR="00C82982" w:rsidRPr="00D3389D" w:rsidRDefault="00C82982" w:rsidP="00C82982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61AB" w14:textId="77777777" w:rsidR="008824B7" w:rsidRDefault="008824B7" w:rsidP="004B7D36">
      <w:pPr>
        <w:spacing w:after="0" w:line="240" w:lineRule="auto"/>
      </w:pPr>
      <w:r>
        <w:separator/>
      </w:r>
    </w:p>
  </w:endnote>
  <w:endnote w:type="continuationSeparator" w:id="0">
    <w:p w14:paraId="5DA60A40" w14:textId="77777777" w:rsidR="008824B7" w:rsidRDefault="008824B7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40A76" w14:textId="77777777" w:rsidR="008824B7" w:rsidRDefault="008824B7" w:rsidP="004B7D36">
      <w:pPr>
        <w:spacing w:after="0" w:line="240" w:lineRule="auto"/>
      </w:pPr>
      <w:r>
        <w:separator/>
      </w:r>
    </w:p>
  </w:footnote>
  <w:footnote w:type="continuationSeparator" w:id="0">
    <w:p w14:paraId="2D1903C7" w14:textId="77777777" w:rsidR="008824B7" w:rsidRDefault="008824B7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>„Do No Significant Harm”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24BD35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13470">
    <w:abstractNumId w:val="28"/>
  </w:num>
  <w:num w:numId="2" w16cid:durableId="1970545373">
    <w:abstractNumId w:val="1"/>
  </w:num>
  <w:num w:numId="3" w16cid:durableId="1219828844">
    <w:abstractNumId w:val="30"/>
  </w:num>
  <w:num w:numId="4" w16cid:durableId="616258021">
    <w:abstractNumId w:val="13"/>
  </w:num>
  <w:num w:numId="5" w16cid:durableId="1427967201">
    <w:abstractNumId w:val="24"/>
  </w:num>
  <w:num w:numId="6" w16cid:durableId="1571848036">
    <w:abstractNumId w:val="25"/>
  </w:num>
  <w:num w:numId="7" w16cid:durableId="38021535">
    <w:abstractNumId w:val="3"/>
  </w:num>
  <w:num w:numId="8" w16cid:durableId="1963072269">
    <w:abstractNumId w:val="12"/>
  </w:num>
  <w:num w:numId="9" w16cid:durableId="1656452749">
    <w:abstractNumId w:val="4"/>
  </w:num>
  <w:num w:numId="10" w16cid:durableId="1993216711">
    <w:abstractNumId w:val="37"/>
  </w:num>
  <w:num w:numId="11" w16cid:durableId="980694886">
    <w:abstractNumId w:val="11"/>
  </w:num>
  <w:num w:numId="12" w16cid:durableId="1791433229">
    <w:abstractNumId w:val="21"/>
  </w:num>
  <w:num w:numId="13" w16cid:durableId="1038822678">
    <w:abstractNumId w:val="6"/>
  </w:num>
  <w:num w:numId="14" w16cid:durableId="1080178757">
    <w:abstractNumId w:val="7"/>
  </w:num>
  <w:num w:numId="15" w16cid:durableId="918441711">
    <w:abstractNumId w:val="22"/>
  </w:num>
  <w:num w:numId="16" w16cid:durableId="900796714">
    <w:abstractNumId w:val="27"/>
  </w:num>
  <w:num w:numId="17" w16cid:durableId="1045446542">
    <w:abstractNumId w:val="34"/>
  </w:num>
  <w:num w:numId="18" w16cid:durableId="638414967">
    <w:abstractNumId w:val="33"/>
  </w:num>
  <w:num w:numId="19" w16cid:durableId="229510804">
    <w:abstractNumId w:val="2"/>
  </w:num>
  <w:num w:numId="20" w16cid:durableId="272634904">
    <w:abstractNumId w:val="35"/>
  </w:num>
  <w:num w:numId="21" w16cid:durableId="1597784677">
    <w:abstractNumId w:val="16"/>
  </w:num>
  <w:num w:numId="22" w16cid:durableId="1950701431">
    <w:abstractNumId w:val="19"/>
  </w:num>
  <w:num w:numId="23" w16cid:durableId="1482890523">
    <w:abstractNumId w:val="36"/>
  </w:num>
  <w:num w:numId="24" w16cid:durableId="871190299">
    <w:abstractNumId w:val="31"/>
  </w:num>
  <w:num w:numId="25" w16cid:durableId="1142622327">
    <w:abstractNumId w:val="29"/>
  </w:num>
  <w:num w:numId="26" w16cid:durableId="1343554281">
    <w:abstractNumId w:val="5"/>
  </w:num>
  <w:num w:numId="27" w16cid:durableId="1716196995">
    <w:abstractNumId w:val="14"/>
  </w:num>
  <w:num w:numId="28" w16cid:durableId="1840146736">
    <w:abstractNumId w:val="9"/>
  </w:num>
  <w:num w:numId="29" w16cid:durableId="2117402719">
    <w:abstractNumId w:val="26"/>
  </w:num>
  <w:num w:numId="30" w16cid:durableId="1034843555">
    <w:abstractNumId w:val="15"/>
  </w:num>
  <w:num w:numId="31" w16cid:durableId="423453651">
    <w:abstractNumId w:val="23"/>
  </w:num>
  <w:num w:numId="32" w16cid:durableId="14118963">
    <w:abstractNumId w:val="32"/>
  </w:num>
  <w:num w:numId="33" w16cid:durableId="1007757355">
    <w:abstractNumId w:val="8"/>
  </w:num>
  <w:num w:numId="34" w16cid:durableId="741175519">
    <w:abstractNumId w:val="0"/>
  </w:num>
  <w:num w:numId="35" w16cid:durableId="2040353345">
    <w:abstractNumId w:val="20"/>
  </w:num>
  <w:num w:numId="36" w16cid:durableId="564335385">
    <w:abstractNumId w:val="18"/>
  </w:num>
  <w:num w:numId="37" w16cid:durableId="1469208427">
    <w:abstractNumId w:val="17"/>
  </w:num>
  <w:num w:numId="38" w16cid:durableId="509107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BE205-1486-4660-A52E-DBE2F32B2EC9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73663"/>
    <w:rsid w:val="00082B3E"/>
    <w:rsid w:val="000975BB"/>
    <w:rsid w:val="000A5046"/>
    <w:rsid w:val="000B7E49"/>
    <w:rsid w:val="000C25FD"/>
    <w:rsid w:val="000C76A4"/>
    <w:rsid w:val="000D0ED3"/>
    <w:rsid w:val="000D485E"/>
    <w:rsid w:val="000D4A03"/>
    <w:rsid w:val="000E0209"/>
    <w:rsid w:val="000E2592"/>
    <w:rsid w:val="000F05CB"/>
    <w:rsid w:val="000F3123"/>
    <w:rsid w:val="00100FFF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049F4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24B7"/>
    <w:rsid w:val="00883918"/>
    <w:rsid w:val="00886239"/>
    <w:rsid w:val="00892338"/>
    <w:rsid w:val="00893823"/>
    <w:rsid w:val="0089436B"/>
    <w:rsid w:val="00895378"/>
    <w:rsid w:val="008A01CC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2982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62A96"/>
    <w:rsid w:val="00D74FBB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319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E7735"/>
    <w:rsid w:val="00DF285F"/>
    <w:rsid w:val="00DF2B78"/>
    <w:rsid w:val="00DF7880"/>
    <w:rsid w:val="00E07BCB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924AF"/>
    <w:rsid w:val="00FA6363"/>
    <w:rsid w:val="00FB35F3"/>
    <w:rsid w:val="00FC6755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205-1486-4660-A52E-DBE2F32B2E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603AB5-AFC3-4BD4-83A2-0DC417C8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2025-09-09T07:10:00Z</dcterms:created>
  <dcterms:modified xsi:type="dcterms:W3CDTF">2025-09-09T07:10:00Z</dcterms:modified>
</cp:coreProperties>
</file>